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ront_Title"/>
      </w:pPr>
      <w:r>
        <w:t>Orca complete application master specification</w:t>
      </w:r>
    </w:p>
    <w:p>
      <w:r>
        <w:t>Application bible for product development UI UX testing deployment and operations</w:t>
      </w:r>
    </w:p>
    <w:p>
      <w:r>
        <w:t>Version 8.0 | 3 November 2026 | Threat Intelligence Bureau LTD | tiborca.com</w:t>
      </w:r>
    </w:p>
    <w:p>
      <w:pPr>
        <w:pStyle w:val="Front_Heading2"/>
      </w:pPr>
      <w:r>
        <w:t>One complete application reference</w:t>
      </w:r>
    </w:p>
    <w:p>
      <w:r>
        <w:t>This document contains the full Orca product baseline: the 23 original engines plus Phase 1 M25 and Phase 1 M24 and their detailed workflows, calculations, data models, contracts, permissions, integrations, acceptance criteria, work packages, release milestones and operational controls. It also integrates the confirmed developer decisions, the complete tenant engine settings implementation, access-aware navigation, UI UX remediation and visual reference plates.</w:t>
      </w:r>
    </w:p>
    <w:p>
      <w:r>
        <w:t>The earlier 49-page tenant specification is incorporated here as implementation detail. It does not replace or shorten the complete product chapters. Each engine chapter contains its original detailed scope and an added typed tenant settings section. Product scope, customer/operator custody and required tests remain explicit throughout.</w:t>
      </w:r>
    </w:p>
    <w:tbl>
      <w:tblPr>
        <w:tblStyle w:val="Front_LightShading-Accent1"/>
        <w:tblW w:type="auto" w:w="0"/>
        <w:tblLayout w:type="fixed"/>
        <w:tblLook w:firstColumn="1" w:firstRow="1" w:lastColumn="0" w:lastRow="0" w:noHBand="0" w:noVBand="1" w:val="04A0"/>
      </w:tblPr>
      <w:tblGrid>
        <w:gridCol w:w="2304"/>
        <w:gridCol w:w="7560"/>
      </w:tblGrid>
      <w:tr>
        <w:trPr>
          <w:tblHeader/>
        </w:trPr>
        <w:tc>
          <w:tcPr>
            <w:tcW w:type="dxa" w:w="2304"/>
          </w:tcPr>
          <w:p>
            <w:r>
              <w:t>Requirement area</w:t>
            </w:r>
          </w:p>
        </w:tc>
        <w:tc>
          <w:tcPr>
            <w:tcW w:type="dxa" w:w="7560"/>
          </w:tcPr>
          <w:p>
            <w:r>
              <w:t>Location within this master</w:t>
            </w:r>
          </w:p>
        </w:tc>
      </w:tr>
      <w:tr>
        <w:tc>
          <w:tcPr>
            <w:tcW w:type="dxa" w:w="2304"/>
          </w:tcPr>
          <w:p>
            <w:pPr>
              <w:spacing w:after="80"/>
            </w:pPr>
            <w:r>
              <w:rPr>
                <w:sz w:val="18"/>
              </w:rPr>
              <w:t>Foundation and architecture</w:t>
            </w:r>
          </w:p>
        </w:tc>
        <w:tc>
          <w:tcPr>
            <w:tcW w:type="dxa" w:w="7560"/>
          </w:tcPr>
          <w:p>
            <w:pPr>
              <w:spacing w:after="80"/>
            </w:pPr>
            <w:r>
              <w:rPr>
                <w:sz w:val="18"/>
              </w:rPr>
              <w:t>Identity tenancy, deployment/trusted data, source boundaries, Permission Manager, cross-engine contracts and M01/M02.</w:t>
            </w:r>
          </w:p>
        </w:tc>
      </w:tr>
      <w:tr>
        <w:tc>
          <w:tcPr>
            <w:tcW w:type="dxa" w:w="2304"/>
          </w:tcPr>
          <w:p>
            <w:pPr>
              <w:spacing w:after="80"/>
            </w:pPr>
            <w:r>
              <w:rPr>
                <w:sz w:val="18"/>
              </w:rPr>
              <w:t>Full engine detail</w:t>
            </w:r>
          </w:p>
        </w:tc>
        <w:tc>
          <w:tcPr>
            <w:tcW w:type="dxa" w:w="7560"/>
          </w:tcPr>
          <w:p>
            <w:r>
              <w:t>M01–M23: outcomes, workflows, data responsibilities, algorithms/designs, work packages, AC and typed settings. Phase 1 also includes M25 incident and request templates; Phase 1 retains M24 desired state monitoring.</w:t>
            </w:r>
          </w:p>
        </w:tc>
      </w:tr>
      <w:tr>
        <w:tc>
          <w:tcPr>
            <w:tcW w:type="dxa" w:w="2304"/>
          </w:tcPr>
          <w:p>
            <w:pPr>
              <w:spacing w:after="80"/>
            </w:pPr>
            <w:r>
              <w:rPr>
                <w:sz w:val="18"/>
              </w:rPr>
              <w:t>Tenant controls and UI</w:t>
            </w:r>
          </w:p>
        </w:tc>
        <w:tc>
          <w:tcPr>
            <w:tcW w:type="dxa" w:w="7560"/>
          </w:tcPr>
          <w:p>
            <w:pPr>
              <w:spacing w:after="80"/>
            </w:pPr>
            <w:r>
              <w:rPr>
                <w:sz w:val="18"/>
              </w:rPr>
              <w:t>Tenant engine administration, lifecycle/state model, atomic plans, APIs, jobs, navigation projection and UI UX review.</w:t>
            </w:r>
          </w:p>
        </w:tc>
      </w:tr>
      <w:tr>
        <w:tc>
          <w:tcPr>
            <w:tcW w:type="dxa" w:w="2304"/>
          </w:tcPr>
          <w:p>
            <w:pPr>
              <w:spacing w:after="80"/>
            </w:pPr>
            <w:r>
              <w:rPr>
                <w:sz w:val="18"/>
              </w:rPr>
              <w:t>Service and storage decisions</w:t>
            </w:r>
          </w:p>
        </w:tc>
        <w:tc>
          <w:tcPr>
            <w:tcW w:type="dxa" w:w="7560"/>
          </w:tcPr>
          <w:p>
            <w:pPr>
              <w:spacing w:after="80"/>
            </w:pPr>
            <w:r>
              <w:rPr>
                <w:sz w:val="18"/>
              </w:rPr>
              <w:t>M21–M23, confirmed developer decisions, complete Q8 custody schedules and retained service-management detail.</w:t>
            </w:r>
          </w:p>
        </w:tc>
      </w:tr>
      <w:tr>
        <w:tc>
          <w:tcPr>
            <w:tcW w:type="dxa" w:w="2304"/>
          </w:tcPr>
          <w:p>
            <w:pPr>
              <w:spacing w:after="80"/>
            </w:pPr>
            <w:r>
              <w:rPr>
                <w:sz w:val="18"/>
              </w:rPr>
              <w:t>Testing and delivery</w:t>
            </w:r>
          </w:p>
        </w:tc>
        <w:tc>
          <w:tcPr>
            <w:tcW w:type="dxa" w:w="7560"/>
          </w:tcPr>
          <w:p>
            <w:pPr>
              <w:spacing w:after="80"/>
            </w:pPr>
            <w:r>
              <w:rPr>
                <w:sz w:val="18"/>
              </w:rPr>
              <w:t>Global A tests, ITSM-A tests, historical findings, V5/V6 traceability, ENGNAV, TSET/NAV, ECFG and R00–R12.</w:t>
            </w:r>
          </w:p>
        </w:tc>
      </w:tr>
      <w:tr>
        <w:tc>
          <w:tcPr>
            <w:tcW w:type="dxa" w:w="2304"/>
          </w:tcPr>
          <w:p>
            <w:pPr>
              <w:spacing w:after="80"/>
            </w:pPr>
            <w:r>
              <w:rPr>
                <w:sz w:val="18"/>
              </w:rPr>
              <w:t>Operations and visual design</w:t>
            </w:r>
          </w:p>
        </w:tc>
        <w:tc>
          <w:tcPr>
            <w:tcW w:type="dxa" w:w="7560"/>
          </w:tcPr>
          <w:p>
            <w:pPr>
              <w:spacing w:after="80"/>
            </w:pPr>
            <w:r>
              <w:rPr>
                <w:sz w:val="18"/>
              </w:rPr>
              <w:t>Development/UAT/deployment/recovery/offboarding playbook and light/dark/review mock-up reference plates.</w:t>
            </w:r>
          </w:p>
        </w:tc>
      </w:tr>
    </w:tbl>
    <w:p>
      <w:pPr>
        <w:pStyle w:val="Front_Heading2"/>
      </w:pPr>
      <w:r>
        <w:t>Authority and implementation status</w:t>
      </w:r>
    </w:p>
    <w:p>
      <w:r>
        <w:t>Confirmed product decisions and normative outcomes govern delivery. Candidate DTOs, setting keys, collections, thresholds, numerical limits and technical algorithms remain labelled proposals where engineering validation is required. Historical research is dated evidence, not a fresh guarantee of current provider support. The document defines the application baseline; it does not certify an unreviewed repository, deployed feature or unexecuted test as complete.</w:t>
      </w:r>
    </w:p>
    <w:p>
      <w:r>
        <w:br w:type="page"/>
      </w:r>
    </w:p>
    <w:p>
      <w:bookmarkStart w:id="1" w:name="orca_ch_001"/>
      <w:pPr>
        <w:pStyle w:val="Front_Heading1"/>
      </w:pPr>
      <w:r>
        <w:t>Confirmed product rules and reconciliation</w:t>
      </w:r>
      <w:bookmarkEnd w:id="1"/>
    </w:p>
    <w:tbl>
      <w:tblPr>
        <w:tblStyle w:val="Front_LightShading-Accent1"/>
        <w:tblW w:type="auto" w:w="0"/>
        <w:tblLayout w:type="fixed"/>
        <w:tblLook w:firstColumn="1" w:firstRow="1" w:lastColumn="0" w:lastRow="0" w:noHBand="0" w:noVBand="1" w:val="04A0"/>
      </w:tblPr>
      <w:tblGrid>
        <w:gridCol w:w="2015"/>
        <w:gridCol w:w="7848"/>
      </w:tblGrid>
      <w:tr>
        <w:trPr>
          <w:tblHeader/>
        </w:trPr>
        <w:tc>
          <w:tcPr>
            <w:tcW w:type="dxa" w:w="2016"/>
          </w:tcPr>
          <w:p>
            <w:r>
              <w:t>Topic</w:t>
            </w:r>
          </w:p>
        </w:tc>
        <w:tc>
          <w:tcPr>
            <w:tcW w:type="dxa" w:w="7848"/>
          </w:tcPr>
          <w:p>
            <w:r>
              <w:t>Current requirement</w:t>
            </w:r>
          </w:p>
        </w:tc>
      </w:tr>
      <w:tr>
        <w:tc>
          <w:tcPr>
            <w:tcW w:type="dxa" w:w="2016"/>
          </w:tcPr>
          <w:p>
            <w:pPr>
              <w:spacing w:after="80"/>
            </w:pPr>
            <w:r>
              <w:rPr>
                <w:sz w:val="18"/>
              </w:rPr>
              <w:t>Theme and components</w:t>
            </w:r>
          </w:p>
        </w:tc>
        <w:tc>
          <w:tcPr>
            <w:tcW w:type="dxa" w:w="7848"/>
          </w:tcPr>
          <w:p>
            <w:pPr>
              <w:spacing w:after="80"/>
            </w:pPr>
            <w:r>
              <w:rPr>
                <w:sz w:val="18"/>
              </w:rPr>
              <w:t>Software-based Orca light/dark with Radzen and the accepted UI asset/licence policy; no Syncfusion. Earlier Humanistic/Material defaults are superseded.</w:t>
            </w:r>
          </w:p>
        </w:tc>
      </w:tr>
      <w:tr>
        <w:tc>
          <w:tcPr>
            <w:tcW w:type="dxa" w:w="2016"/>
          </w:tcPr>
          <w:p>
            <w:pPr>
              <w:spacing w:after="80"/>
            </w:pPr>
            <w:r>
              <w:rPr>
                <w:sz w:val="18"/>
              </w:rPr>
              <w:t>Engine scope and controls</w:t>
            </w:r>
          </w:p>
        </w:tc>
        <w:tc>
          <w:tcPr>
            <w:tcW w:type="dxa" w:w="7848"/>
          </w:tcPr>
          <w:p>
            <w:r>
              <w:t>M01–M23. M01/M02 locked On for active tenants; per-tenant optional engine controls with required/conditional dependency checks. M24 Desired State and Configuration Drift is the additional Phase 1 engine; its normative addendum follows the visual references. Phase 1 also includes M25 incident and request templates; Phase 1 retains M24 desired state monitoring.</w:t>
            </w:r>
          </w:p>
        </w:tc>
      </w:tr>
      <w:tr>
        <w:tc>
          <w:tcPr>
            <w:tcW w:type="dxa" w:w="2016"/>
          </w:tcPr>
          <w:p>
            <w:pPr>
              <w:spacing w:after="80"/>
            </w:pPr>
            <w:r>
              <w:rPr>
                <w:sz w:val="18"/>
              </w:rPr>
              <w:t>Navigation and UAM</w:t>
            </w:r>
          </w:p>
        </w:tc>
        <w:tc>
          <w:tcPr>
            <w:tcW w:type="dxa" w:w="7848"/>
          </w:tcPr>
          <w:p>
            <w:pPr>
              <w:spacing w:after="80"/>
            </w:pPr>
            <w:r>
              <w:rPr>
                <w:sz w:val="18"/>
              </w:rPr>
              <w:t>Hide inaccessible items/tabs/empty groups and enforce the same server-side scope. No full-user, SuperAdmin content or self-approval bypass.</w:t>
            </w:r>
          </w:p>
        </w:tc>
      </w:tr>
      <w:tr>
        <w:tc>
          <w:tcPr>
            <w:tcW w:type="dxa" w:w="2016"/>
          </w:tcPr>
          <w:p>
            <w:pPr>
              <w:spacing w:after="80"/>
            </w:pPr>
            <w:r>
              <w:rPr>
                <w:sz w:val="18"/>
              </w:rPr>
              <w:t>Off behaviour</w:t>
            </w:r>
          </w:p>
        </w:tc>
        <w:tc>
          <w:tcPr>
            <w:tcW w:type="dxa" w:w="7848"/>
          </w:tcPr>
          <w:p>
            <w:pPr>
              <w:spacing w:after="80"/>
            </w:pPr>
            <w:r>
              <w:rPr>
                <w:sz w:val="18"/>
              </w:rPr>
              <w:t>Stop new ordinary work; drain/reconcile accepted work safely. Retain settings, data, usage, checkpoints and audit; purge is a separate lifecycle operation.</w:t>
            </w:r>
          </w:p>
        </w:tc>
      </w:tr>
      <w:tr>
        <w:tc>
          <w:tcPr>
            <w:tcW w:type="dxa" w:w="2016"/>
          </w:tcPr>
          <w:p>
            <w:pPr>
              <w:spacing w:after="80"/>
            </w:pPr>
            <w:r>
              <w:rPr>
                <w:sz w:val="18"/>
              </w:rPr>
              <w:t>Record custody</w:t>
            </w:r>
          </w:p>
        </w:tc>
        <w:tc>
          <w:tcPr>
            <w:tcW w:type="dxa" w:w="7848"/>
          </w:tcPr>
          <w:p>
            <w:pPr>
              <w:spacing w:after="80"/>
            </w:pPr>
            <w:r>
              <w:rPr>
                <w:sz w:val="18"/>
              </w:rPr>
              <w:t>Committed business records customer-held; operational authority, approvals, receipts, private notes and SLA ledger operator-held. Complete Q8 schedule is included.</w:t>
            </w:r>
          </w:p>
        </w:tc>
      </w:tr>
      <w:tr>
        <w:tc>
          <w:tcPr>
            <w:tcW w:type="dxa" w:w="2016"/>
          </w:tcPr>
          <w:p>
            <w:pPr>
              <w:spacing w:after="80"/>
            </w:pPr>
            <w:r>
              <w:rPr>
                <w:sz w:val="18"/>
              </w:rPr>
              <w:t>Ownership and interfaces</w:t>
            </w:r>
          </w:p>
        </w:tc>
        <w:tc>
          <w:tcPr>
            <w:tcW w:type="dxa" w:w="7848"/>
          </w:tcPr>
          <w:p>
            <w:pPr>
              <w:spacing w:after="80"/>
            </w:pPr>
            <w:r>
              <w:rPr>
                <w:sz w:val="18"/>
              </w:rPr>
              <w:t>Customer retains business records plus offboarding export. APIs/exports are supported; direct database integration requires separate agreement and confers no authority.</w:t>
            </w:r>
          </w:p>
        </w:tc>
      </w:tr>
      <w:tr>
        <w:tc>
          <w:tcPr>
            <w:tcW w:type="dxa" w:w="2016"/>
          </w:tcPr>
          <w:p>
            <w:pPr>
              <w:spacing w:after="80"/>
            </w:pPr>
            <w:r>
              <w:rPr>
                <w:sz w:val="18"/>
              </w:rPr>
              <w:t>Requester access</w:t>
            </w:r>
          </w:p>
        </w:tc>
        <w:tc>
          <w:tcPr>
            <w:tcW w:type="dxa" w:w="7848"/>
          </w:tcPr>
          <w:p>
            <w:pPr>
              <w:spacing w:after="80"/>
            </w:pPr>
            <w:r>
              <w:rPr>
                <w:sz w:val="18"/>
              </w:rPr>
              <w:t>Explicit portal entry and current scope. Entitled operators may use Self-service. On-behalf/department view are optional, Off by default, with verified delegation/membership.</w:t>
            </w:r>
          </w:p>
        </w:tc>
      </w:tr>
      <w:tr>
        <w:tc>
          <w:tcPr>
            <w:tcW w:type="dxa" w:w="2016"/>
          </w:tcPr>
          <w:p>
            <w:pPr>
              <w:spacing w:after="80"/>
            </w:pPr>
            <w:r>
              <w:rPr>
                <w:sz w:val="18"/>
              </w:rPr>
              <w:t>Roles and tests</w:t>
            </w:r>
          </w:p>
        </w:tc>
        <w:tc>
          <w:tcPr>
            <w:tcW w:type="dxa" w:w="7848"/>
          </w:tcPr>
          <w:p>
            <w:pPr>
              <w:spacing w:after="80"/>
            </w:pPr>
            <w:r>
              <w:rPr>
                <w:sz w:val="18"/>
              </w:rPr>
              <w:t>Reuse Problem.Manager/Change.Manager. Global A01–A16 and ITSM-A01–A15 are distinct; split basic/shift ownership gates as ITSM-A08a/b.</w:t>
            </w:r>
          </w:p>
        </w:tc>
      </w:tr>
      <w:tr>
        <w:tc>
          <w:tcPr>
            <w:tcW w:type="dxa" w:w="2016"/>
          </w:tcPr>
          <w:p>
            <w:pPr>
              <w:spacing w:after="80"/>
            </w:pPr>
            <w:r>
              <w:rPr>
                <w:sz w:val="18"/>
              </w:rPr>
              <w:t>Final acceptance</w:t>
            </w:r>
          </w:p>
        </w:tc>
        <w:tc>
          <w:tcPr>
            <w:tcW w:type="dxa" w:w="7848"/>
          </w:tcPr>
          <w:p>
            <w:pPr>
              <w:spacing w:after="80"/>
            </w:pPr>
            <w:r>
              <w:rPr>
                <w:sz w:val="18"/>
              </w:rPr>
              <w:t>R12 includes all 23 engines, R06T/R06M/R09T and required R10A/R10B paths. M22 has explicit R12 integrated acceptance.</w:t>
            </w:r>
          </w:p>
        </w:tc>
      </w:tr>
      <w:tr>
        <w:tc>
          <w:tcPr>
            <w:tcW w:type="dxa" w:w="2016"/>
          </w:tcPr>
          <w:p>
            <w:pPr>
              <w:spacing w:after="80"/>
            </w:pPr>
            <w:r>
              <w:rPr>
                <w:sz w:val="18"/>
              </w:rPr>
              <w:t>Delivery priorities</w:t>
            </w:r>
          </w:p>
        </w:tc>
        <w:tc>
          <w:tcPr>
            <w:tcW w:type="dxa" w:w="7848"/>
          </w:tcPr>
          <w:p>
            <w:pPr>
              <w:spacing w:after="80"/>
            </w:pPr>
            <w:r>
              <w:rPr>
                <w:sz w:val="18"/>
              </w:rPr>
              <w:t>Cost, licensing, governance, posture and dashboards precede incident phase. Sentinel precedes Defender within that phase; local/library AI precedes cloud/web expansion.</w:t>
            </w:r>
          </w:p>
        </w:tc>
      </w:tr>
    </w:tbl>
    <w:p>
      <w:pPr>
        <w:pStyle w:val="Front_Heading2"/>
      </w:pPr>
      <w:r>
        <w:t>Consolidation coverage</w:t>
      </w:r>
    </w:p>
    <w:p>
      <w:r>
        <w:t>The complete v6 baseline and its four diagrams are retained. Detailed tenant control contracts and the 23 original field catalogues and the M24 addendum settings are integrated; confirmed question/explainer/answer rationale and custody tables are retained; unique service-management records and older findings/traceability are restored. Duplicate whole-document wrappers and superseded standalone release/register tables are not alternative authorities. The reading map below links directly to the relevant chapters.</w:t>
      </w:r>
    </w:p>
    <w:p>
      <w:r>
        <w:br w:type="page"/>
      </w:r>
    </w:p>
    <w:p>
      <w:bookmarkStart w:id="2" w:name="orca_ch_002"/>
      <w:pPr>
        <w:pStyle w:val="Front_Heading1"/>
      </w:pPr>
      <w:r>
        <w:t>Application engine reading map</w:t>
      </w:r>
      <w:bookmarkEnd w:id="2"/>
    </w:p>
    <w:tbl>
      <w:tblPr>
        <w:tblStyle w:val="Front_LightShading-Accent1"/>
        <w:tblW w:type="auto" w:w="0"/>
        <w:tblLayout w:type="fixed"/>
        <w:tblLook w:firstColumn="1" w:firstRow="1" w:lastColumn="0" w:lastRow="0" w:noHBand="0" w:noVBand="1" w:val="04A0"/>
      </w:tblPr>
      <w:tblGrid>
        <w:gridCol w:w="8928"/>
        <w:gridCol w:w="936"/>
      </w:tblGrid>
      <w:tr>
        <w:trPr>
          <w:tblHeader/>
        </w:trPr>
        <w:tc>
          <w:tcPr>
            <w:tcW w:type="dxa" w:w="8928"/>
          </w:tcPr>
          <w:p>
            <w:r>
              <w:t>Engine chapter</w:t>
            </w:r>
          </w:p>
        </w:tc>
        <w:tc>
          <w:tcPr>
            <w:tcW w:type="dxa" w:w="936"/>
          </w:tcPr>
          <w:p>
            <w:r>
              <w:t>Page</w:t>
            </w:r>
          </w:p>
        </w:tc>
      </w:tr>
      <w:tr>
        <w:tc>
          <w:tcPr>
            <w:tcW w:type="dxa" w:w="8928"/>
          </w:tcPr>
          <w:p>
            <w:r/>
            <w:hyperlink w:anchor="orca_ch_017">
              <w:r>
                <w:t>M01 Platform and tenant engine</w:t>
              </w:r>
            </w:hyperlink>
          </w:p>
        </w:tc>
        <w:tc>
          <w:tcPr>
            <w:tcW w:type="dxa" w:w="936"/>
          </w:tcPr>
          <w:p>
            <w:r/>
            <w:fldSimple w:instr="PAGEREF orca_ch_017 \h">
              <w:r>
                <w:t>—</w:t>
              </w:r>
            </w:fldSimple>
          </w:p>
        </w:tc>
      </w:tr>
      <w:tr>
        <w:tc>
          <w:tcPr>
            <w:tcW w:type="dxa" w:w="8928"/>
          </w:tcPr>
          <w:p>
            <w:r/>
            <w:hyperlink w:anchor="orca_ch_019">
              <w:r>
                <w:t>M02 UAM permission matrix engine</w:t>
              </w:r>
            </w:hyperlink>
          </w:p>
        </w:tc>
        <w:tc>
          <w:tcPr>
            <w:tcW w:type="dxa" w:w="936"/>
          </w:tcPr>
          <w:p>
            <w:r/>
            <w:fldSimple w:instr="PAGEREF orca_ch_019 \h">
              <w:r>
                <w:t>—</w:t>
              </w:r>
            </w:fldSimple>
          </w:p>
        </w:tc>
      </w:tr>
      <w:tr>
        <w:tc>
          <w:tcPr>
            <w:tcW w:type="dxa" w:w="8928"/>
          </w:tcPr>
          <w:p>
            <w:r/>
            <w:hyperlink w:anchor="orca_ch_021">
              <w:r>
                <w:t>M03 File Store engine</w:t>
              </w:r>
            </w:hyperlink>
          </w:p>
        </w:tc>
        <w:tc>
          <w:tcPr>
            <w:tcW w:type="dxa" w:w="936"/>
          </w:tcPr>
          <w:p>
            <w:r/>
            <w:fldSimple w:instr="PAGEREF orca_ch_021 \h">
              <w:r>
                <w:t>—</w:t>
              </w:r>
            </w:fldSimple>
          </w:p>
        </w:tc>
      </w:tr>
      <w:tr>
        <w:tc>
          <w:tcPr>
            <w:tcW w:type="dxa" w:w="8928"/>
          </w:tcPr>
          <w:p>
            <w:r/>
            <w:hyperlink w:anchor="orca_ch_023">
              <w:r>
                <w:t>M04 Unified security incident engine</w:t>
              </w:r>
            </w:hyperlink>
          </w:p>
        </w:tc>
        <w:tc>
          <w:tcPr>
            <w:tcW w:type="dxa" w:w="936"/>
          </w:tcPr>
          <w:p>
            <w:r/>
            <w:fldSimple w:instr="PAGEREF orca_ch_023 \h">
              <w:r>
                <w:t>—</w:t>
              </w:r>
            </w:fldSimple>
          </w:p>
        </w:tc>
      </w:tr>
      <w:tr>
        <w:tc>
          <w:tcPr>
            <w:tcW w:type="dxa" w:w="8928"/>
          </w:tcPr>
          <w:p>
            <w:r/>
            <w:hyperlink w:anchor="orca_ch_025">
              <w:r>
                <w:t>M05 Sentinel integration engine</w:t>
              </w:r>
            </w:hyperlink>
          </w:p>
        </w:tc>
        <w:tc>
          <w:tcPr>
            <w:tcW w:type="dxa" w:w="936"/>
          </w:tcPr>
          <w:p>
            <w:r/>
            <w:fldSimple w:instr="PAGEREF orca_ch_025 \h">
              <w:r>
                <w:t>—</w:t>
              </w:r>
            </w:fldSimple>
          </w:p>
        </w:tc>
      </w:tr>
      <w:tr>
        <w:tc>
          <w:tcPr>
            <w:tcW w:type="dxa" w:w="8928"/>
          </w:tcPr>
          <w:p>
            <w:r/>
            <w:hyperlink w:anchor="orca_ch_027">
              <w:r>
                <w:t>M06 Defender integration engine</w:t>
              </w:r>
            </w:hyperlink>
          </w:p>
        </w:tc>
        <w:tc>
          <w:tcPr>
            <w:tcW w:type="dxa" w:w="936"/>
          </w:tcPr>
          <w:p>
            <w:r/>
            <w:fldSimple w:instr="PAGEREF orca_ch_027 \h">
              <w:r>
                <w:t>—</w:t>
              </w:r>
            </w:fldSimple>
          </w:p>
        </w:tc>
      </w:tr>
      <w:tr>
        <w:tc>
          <w:tcPr>
            <w:tcW w:type="dxa" w:w="8928"/>
          </w:tcPr>
          <w:p>
            <w:r/>
            <w:hyperlink w:anchor="orca_ch_029">
              <w:r>
                <w:t>M07 Agentless asset engine</w:t>
              </w:r>
            </w:hyperlink>
          </w:p>
        </w:tc>
        <w:tc>
          <w:tcPr>
            <w:tcW w:type="dxa" w:w="936"/>
          </w:tcPr>
          <w:p>
            <w:r/>
            <w:fldSimple w:instr="PAGEREF orca_ch_029 \h">
              <w:r>
                <w:t>—</w:t>
              </w:r>
            </w:fldSimple>
          </w:p>
        </w:tc>
      </w:tr>
      <w:tr>
        <w:tc>
          <w:tcPr>
            <w:tcW w:type="dxa" w:w="8928"/>
          </w:tcPr>
          <w:p>
            <w:r/>
            <w:hyperlink w:anchor="orca_ch_031">
              <w:r>
                <w:t>M08 ATTACK and control engine</w:t>
              </w:r>
            </w:hyperlink>
          </w:p>
        </w:tc>
        <w:tc>
          <w:tcPr>
            <w:tcW w:type="dxa" w:w="936"/>
          </w:tcPr>
          <w:p>
            <w:r/>
            <w:fldSimple w:instr="PAGEREF orca_ch_031 \h">
              <w:r>
                <w:t>—</w:t>
              </w:r>
            </w:fldSimple>
          </w:p>
        </w:tc>
      </w:tr>
      <w:tr>
        <w:tc>
          <w:tcPr>
            <w:tcW w:type="dxa" w:w="8928"/>
          </w:tcPr>
          <w:p>
            <w:r/>
            <w:hyperlink w:anchor="orca_ch_033">
              <w:r>
                <w:t>M09 Team shift and routing engine</w:t>
              </w:r>
            </w:hyperlink>
          </w:p>
        </w:tc>
        <w:tc>
          <w:tcPr>
            <w:tcW w:type="dxa" w:w="936"/>
          </w:tcPr>
          <w:p>
            <w:r/>
            <w:fldSimple w:instr="PAGEREF orca_ch_033 \h">
              <w:r>
                <w:t>—</w:t>
              </w:r>
            </w:fldSimple>
          </w:p>
        </w:tc>
      </w:tr>
      <w:tr>
        <w:tc>
          <w:tcPr>
            <w:tcW w:type="dxa" w:w="8928"/>
          </w:tcPr>
          <w:p>
            <w:r/>
            <w:hyperlink w:anchor="orca_ch_035">
              <w:r>
                <w:t>M10 AI and chat engine</w:t>
              </w:r>
            </w:hyperlink>
          </w:p>
        </w:tc>
        <w:tc>
          <w:tcPr>
            <w:tcW w:type="dxa" w:w="936"/>
          </w:tcPr>
          <w:p>
            <w:r/>
            <w:fldSimple w:instr="PAGEREF orca_ch_035 \h">
              <w:r>
                <w:t>—</w:t>
              </w:r>
            </w:fldSimple>
          </w:p>
        </w:tc>
      </w:tr>
      <w:tr>
        <w:tc>
          <w:tcPr>
            <w:tcW w:type="dxa" w:w="8928"/>
          </w:tcPr>
          <w:p>
            <w:r/>
            <w:hyperlink w:anchor="orca_ch_037">
              <w:r>
                <w:t>M11 AI budget engine</w:t>
              </w:r>
            </w:hyperlink>
          </w:p>
        </w:tc>
        <w:tc>
          <w:tcPr>
            <w:tcW w:type="dxa" w:w="936"/>
          </w:tcPr>
          <w:p>
            <w:r/>
            <w:fldSimple w:instr="PAGEREF orca_ch_037 \h">
              <w:r>
                <w:t>—</w:t>
              </w:r>
            </w:fldSimple>
          </w:p>
        </w:tc>
      </w:tr>
      <w:tr>
        <w:tc>
          <w:tcPr>
            <w:tcW w:type="dxa" w:w="8928"/>
          </w:tcPr>
          <w:p>
            <w:r/>
            <w:hyperlink w:anchor="orca_ch_039">
              <w:r>
                <w:t>M12 Response orchestration engine</w:t>
              </w:r>
            </w:hyperlink>
          </w:p>
        </w:tc>
        <w:tc>
          <w:tcPr>
            <w:tcW w:type="dxa" w:w="936"/>
          </w:tcPr>
          <w:p>
            <w:r/>
            <w:fldSimple w:instr="PAGEREF orca_ch_039 \h">
              <w:r>
                <w:t>—</w:t>
              </w:r>
            </w:fldSimple>
          </w:p>
        </w:tc>
      </w:tr>
      <w:tr>
        <w:tc>
          <w:tcPr>
            <w:tcW w:type="dxa" w:w="8928"/>
          </w:tcPr>
          <w:p>
            <w:r/>
            <w:hyperlink w:anchor="orca_ch_041">
              <w:r>
                <w:t>M13 Change Request engine</w:t>
              </w:r>
            </w:hyperlink>
          </w:p>
        </w:tc>
        <w:tc>
          <w:tcPr>
            <w:tcW w:type="dxa" w:w="936"/>
          </w:tcPr>
          <w:p>
            <w:r/>
            <w:fldSimple w:instr="PAGEREF orca_ch_041 \h">
              <w:r>
                <w:t>—</w:t>
              </w:r>
            </w:fldSimple>
          </w:p>
        </w:tc>
      </w:tr>
      <w:tr>
        <w:tc>
          <w:tcPr>
            <w:tcW w:type="dxa" w:w="8928"/>
          </w:tcPr>
          <w:p>
            <w:r/>
            <w:hyperlink w:anchor="orca_ch_043">
              <w:r>
                <w:t>M14 Problem Management engine</w:t>
              </w:r>
            </w:hyperlink>
          </w:p>
        </w:tc>
        <w:tc>
          <w:tcPr>
            <w:tcW w:type="dxa" w:w="936"/>
          </w:tcPr>
          <w:p>
            <w:r/>
            <w:fldSimple w:instr="PAGEREF orca_ch_043 \h">
              <w:r>
                <w:t>—</w:t>
              </w:r>
            </w:fldSimple>
          </w:p>
        </w:tc>
      </w:tr>
      <w:tr>
        <w:tc>
          <w:tcPr>
            <w:tcW w:type="dxa" w:w="8928"/>
          </w:tcPr>
          <w:p>
            <w:r/>
            <w:hyperlink w:anchor="orca_ch_045">
              <w:r>
                <w:t>M15 Reporting and attack metrics engine</w:t>
              </w:r>
            </w:hyperlink>
          </w:p>
        </w:tc>
        <w:tc>
          <w:tcPr>
            <w:tcW w:type="dxa" w:w="936"/>
          </w:tcPr>
          <w:p>
            <w:r/>
            <w:fldSimple w:instr="PAGEREF orca_ch_045 \h">
              <w:r>
                <w:t>—</w:t>
              </w:r>
            </w:fldSimple>
          </w:p>
        </w:tc>
      </w:tr>
      <w:tr>
        <w:tc>
          <w:tcPr>
            <w:tcW w:type="dxa" w:w="8928"/>
          </w:tcPr>
          <w:p>
            <w:r/>
            <w:hyperlink w:anchor="orca_ch_048">
              <w:r>
                <w:t>M16 Integration extension and notification engine</w:t>
              </w:r>
            </w:hyperlink>
          </w:p>
        </w:tc>
        <w:tc>
          <w:tcPr>
            <w:tcW w:type="dxa" w:w="936"/>
          </w:tcPr>
          <w:p>
            <w:r/>
            <w:fldSimple w:instr="PAGEREF orca_ch_048 \h">
              <w:r>
                <w:t>—</w:t>
              </w:r>
            </w:fldSimple>
          </w:p>
        </w:tc>
      </w:tr>
      <w:tr>
        <w:tc>
          <w:tcPr>
            <w:tcW w:type="dxa" w:w="8928"/>
          </w:tcPr>
          <w:p>
            <w:r/>
            <w:hyperlink w:anchor="orca_ch_050">
              <w:r>
                <w:t>M17 Azure cost and resource optimisation engine</w:t>
              </w:r>
            </w:hyperlink>
          </w:p>
        </w:tc>
        <w:tc>
          <w:tcPr>
            <w:tcW w:type="dxa" w:w="936"/>
          </w:tcPr>
          <w:p>
            <w:r/>
            <w:fldSimple w:instr="PAGEREF orca_ch_050 \h">
              <w:r>
                <w:t>—</w:t>
              </w:r>
            </w:fldSimple>
          </w:p>
        </w:tc>
      </w:tr>
      <w:tr>
        <w:tc>
          <w:tcPr>
            <w:tcW w:type="dxa" w:w="8928"/>
          </w:tcPr>
          <w:p>
            <w:r/>
            <w:hyperlink w:anchor="orca_ch_052">
              <w:r>
                <w:t>M18 Entra and Microsoft 365 governance and licence engine</w:t>
              </w:r>
            </w:hyperlink>
          </w:p>
        </w:tc>
        <w:tc>
          <w:tcPr>
            <w:tcW w:type="dxa" w:w="936"/>
          </w:tcPr>
          <w:p>
            <w:r/>
            <w:fldSimple w:instr="PAGEREF orca_ch_052 \h">
              <w:r>
                <w:t>—</w:t>
              </w:r>
            </w:fldSimple>
          </w:p>
        </w:tc>
      </w:tr>
      <w:tr>
        <w:tc>
          <w:tcPr>
            <w:tcW w:type="dxa" w:w="8928"/>
          </w:tcPr>
          <w:p>
            <w:r/>
            <w:hyperlink w:anchor="orca_ch_054">
              <w:r>
                <w:t>M19 Azure DevOps efficiency and governance engine</w:t>
              </w:r>
            </w:hyperlink>
          </w:p>
        </w:tc>
        <w:tc>
          <w:tcPr>
            <w:tcW w:type="dxa" w:w="936"/>
          </w:tcPr>
          <w:p>
            <w:r/>
            <w:fldSimple w:instr="PAGEREF orca_ch_054 \h">
              <w:r>
                <w:t>—</w:t>
              </w:r>
            </w:fldSimple>
          </w:p>
        </w:tc>
      </w:tr>
      <w:tr>
        <w:tc>
          <w:tcPr>
            <w:tcW w:type="dxa" w:w="8928"/>
          </w:tcPr>
          <w:p>
            <w:r/>
            <w:hyperlink w:anchor="orca_ch_056">
              <w:r>
                <w:t>M20 Microsoft posture scores and recommendation engine</w:t>
              </w:r>
            </w:hyperlink>
          </w:p>
        </w:tc>
        <w:tc>
          <w:tcPr>
            <w:tcW w:type="dxa" w:w="936"/>
          </w:tcPr>
          <w:p>
            <w:r/>
            <w:fldSimple w:instr="PAGEREF orca_ch_056 \h">
              <w:r>
                <w:t>—</w:t>
              </w:r>
            </w:fldSimple>
          </w:p>
        </w:tc>
      </w:tr>
      <w:tr>
        <w:tc>
          <w:tcPr>
            <w:tcW w:type="dxa" w:w="8928"/>
          </w:tcPr>
          <w:p>
            <w:r/>
            <w:hyperlink w:anchor="orca_ch_058">
              <w:r>
                <w:t>M21 ITSM incident and service request engine</w:t>
              </w:r>
            </w:hyperlink>
          </w:p>
        </w:tc>
        <w:tc>
          <w:tcPr>
            <w:tcW w:type="dxa" w:w="936"/>
          </w:tcPr>
          <w:p>
            <w:r/>
            <w:fldSimple w:instr="PAGEREF orca_ch_058 \h">
              <w:r>
                <w:t>—</w:t>
              </w:r>
            </w:fldSimple>
          </w:p>
        </w:tc>
      </w:tr>
      <w:tr>
        <w:tc>
          <w:tcPr>
            <w:tcW w:type="dxa" w:w="8928"/>
          </w:tcPr>
          <w:p>
            <w:r/>
            <w:hyperlink w:anchor="orca_ch_060">
              <w:r>
                <w:t>M22 Mailbox to ticket connector engine</w:t>
              </w:r>
            </w:hyperlink>
          </w:p>
        </w:tc>
        <w:tc>
          <w:tcPr>
            <w:tcW w:type="dxa" w:w="936"/>
          </w:tcPr>
          <w:p>
            <w:r/>
            <w:fldSimple w:instr="PAGEREF orca_ch_060 \h">
              <w:r>
                <w:t>—</w:t>
              </w:r>
            </w:fldSimple>
          </w:p>
        </w:tc>
      </w:tr>
      <w:tr>
        <w:tc>
          <w:tcPr>
            <w:tcW w:type="dxa" w:w="8928"/>
          </w:tcPr>
          <w:p>
            <w:r/>
            <w:hyperlink w:anchor="orca_ch_062">
              <w:r>
                <w:t>M23 Requester portal engine</w:t>
              </w:r>
            </w:hyperlink>
          </w:p>
        </w:tc>
        <w:tc>
          <w:tcPr>
            <w:tcW w:type="dxa" w:w="936"/>
          </w:tcPr>
          <w:p>
            <w:r/>
            <w:fldSimple w:instr="PAGEREF orca_ch_062 \h">
              <w:r>
                <w:t>—</w:t>
              </w:r>
            </w:fldSimple>
          </w:p>
        </w:tc>
      </w:tr>
      <w:tr>
        <w:tc>
          <w:tcPr>
            <w:tcW w:type="dxa" w:w="8928"/>
          </w:tcPr>
          <w:p>
            <w:r>
              <w:t>M24 Desired State and Configuration Drift engine Phase 1</w:t>
            </w:r>
          </w:p>
        </w:tc>
        <w:tc>
          <w:tcPr>
            <w:tcW w:type="dxa" w:w="936"/>
          </w:tcPr>
          <w:p>
            <w:r>
              <w:t>See final addendum</w:t>
            </w:r>
          </w:p>
        </w:tc>
      </w:tr>
      <w:tr>
        <w:tc>
          <w:tcPr>
            <w:tcW w:type="dxa" w:w="8928"/>
          </w:tcPr>
          <w:p>
            <w:r>
              <w:t>M25 Incident and Request Template engine Phase 1</w:t>
            </w:r>
          </w:p>
        </w:tc>
        <w:tc>
          <w:tcPr>
            <w:tcW w:type="dxa" w:w="936"/>
          </w:tcPr>
          <w:p>
            <w:r>
              <w:t>See final Phase 1 addendum</w:t>
            </w:r>
          </w:p>
        </w:tc>
      </w:tr>
    </w:tbl>
    <w:p>
      <w:r>
        <w:br w:type="page"/>
      </w:r>
    </w:p>
    <w:p>
      <w:bookmarkStart w:id="3" w:name="orca_ch_003"/>
      <w:pPr>
        <w:pStyle w:val="Front_Heading1"/>
      </w:pPr>
      <w:r>
        <w:t>Architecture implementation and delivery reading map</w:t>
      </w:r>
      <w:bookmarkEnd w:id="3"/>
    </w:p>
    <w:tbl>
      <w:tblPr>
        <w:tblStyle w:val="Front_LightShading-Accent1"/>
        <w:tblW w:type="auto" w:w="0"/>
        <w:tblLayout w:type="fixed"/>
        <w:tblLook w:firstColumn="1" w:firstRow="1" w:lastColumn="0" w:lastRow="0" w:noHBand="0" w:noVBand="1" w:val="04A0"/>
      </w:tblPr>
      <w:tblGrid>
        <w:gridCol w:w="8928"/>
        <w:gridCol w:w="936"/>
      </w:tblGrid>
      <w:tr>
        <w:trPr>
          <w:tblHeader/>
        </w:trPr>
        <w:tc>
          <w:tcPr>
            <w:tcW w:type="dxa" w:w="8928"/>
          </w:tcPr>
          <w:p>
            <w:r>
              <w:t>Reference chapter</w:t>
            </w:r>
          </w:p>
        </w:tc>
        <w:tc>
          <w:tcPr>
            <w:tcW w:type="dxa" w:w="936"/>
          </w:tcPr>
          <w:p>
            <w:r>
              <w:t>Page</w:t>
            </w:r>
          </w:p>
        </w:tc>
      </w:tr>
      <w:tr>
        <w:tc>
          <w:tcPr>
            <w:tcW w:type="dxa" w:w="8928"/>
          </w:tcPr>
          <w:p>
            <w:r/>
            <w:hyperlink w:anchor="orca_ch_004">
              <w:r>
                <w:t>Product scope and delivery priorities</w:t>
              </w:r>
            </w:hyperlink>
          </w:p>
        </w:tc>
        <w:tc>
          <w:tcPr>
            <w:tcW w:type="dxa" w:w="936"/>
          </w:tcPr>
          <w:p>
            <w:r/>
            <w:fldSimple w:instr="PAGEREF orca_ch_004 \h">
              <w:r>
                <w:t>—</w:t>
              </w:r>
            </w:fldSimple>
          </w:p>
        </w:tc>
      </w:tr>
      <w:tr>
        <w:tc>
          <w:tcPr>
            <w:tcW w:type="dxa" w:w="8928"/>
          </w:tcPr>
          <w:p>
            <w:r/>
            <w:hyperlink w:anchor="orca_ch_006">
              <w:r>
                <w:t>Identity tenancy and permission decisions</w:t>
              </w:r>
            </w:hyperlink>
          </w:p>
        </w:tc>
        <w:tc>
          <w:tcPr>
            <w:tcW w:type="dxa" w:w="936"/>
          </w:tcPr>
          <w:p>
            <w:r/>
            <w:fldSimple w:instr="PAGEREF orca_ch_006 \h">
              <w:r>
                <w:t>—</w:t>
              </w:r>
            </w:fldSimple>
          </w:p>
        </w:tc>
      </w:tr>
      <w:tr>
        <w:tc>
          <w:tcPr>
            <w:tcW w:type="dxa" w:w="8928"/>
          </w:tcPr>
          <w:p>
            <w:r/>
            <w:hyperlink w:anchor="orca_ch_007">
              <w:r>
                <w:t>Deployment and trusted data placement</w:t>
              </w:r>
            </w:hyperlink>
          </w:p>
        </w:tc>
        <w:tc>
          <w:tcPr>
            <w:tcW w:type="dxa" w:w="936"/>
          </w:tcPr>
          <w:p>
            <w:r/>
            <w:fldSimple w:instr="PAGEREF orca_ch_007 \h">
              <w:r>
                <w:t>—</w:t>
              </w:r>
            </w:fldSimple>
          </w:p>
        </w:tc>
      </w:tr>
      <w:tr>
        <w:tc>
          <w:tcPr>
            <w:tcW w:type="dxa" w:w="8928"/>
          </w:tcPr>
          <w:p>
            <w:r/>
            <w:hyperlink w:anchor="orca_ch_008">
              <w:r>
                <w:t>Connectors and Microsoft source boundaries</w:t>
              </w:r>
            </w:hyperlink>
          </w:p>
        </w:tc>
        <w:tc>
          <w:tcPr>
            <w:tcW w:type="dxa" w:w="936"/>
          </w:tcPr>
          <w:p>
            <w:r/>
            <w:fldSimple w:instr="PAGEREF orca_ch_008 \h">
              <w:r>
                <w:t>—</w:t>
              </w:r>
            </w:fldSimple>
          </w:p>
        </w:tc>
      </w:tr>
      <w:tr>
        <w:tc>
          <w:tcPr>
            <w:tcW w:type="dxa" w:w="8928"/>
          </w:tcPr>
          <w:p>
            <w:r/>
            <w:hyperlink w:anchor="orca_ch_016">
              <w:r>
                <w:t>Cross engine contracts and data ownership</w:t>
              </w:r>
            </w:hyperlink>
          </w:p>
        </w:tc>
        <w:tc>
          <w:tcPr>
            <w:tcW w:type="dxa" w:w="936"/>
          </w:tcPr>
          <w:p>
            <w:r/>
            <w:fldSimple w:instr="PAGEREF orca_ch_016 \h">
              <w:r>
                <w:t>—</w:t>
              </w:r>
            </w:fldSimple>
          </w:p>
        </w:tc>
      </w:tr>
      <w:tr>
        <w:tc>
          <w:tcPr>
            <w:tcW w:type="dxa" w:w="8928"/>
          </w:tcPr>
          <w:p>
            <w:r/>
            <w:hyperlink w:anchor="orca_ch_072">
              <w:r>
                <w:t>Complete permission catalogue and roles</w:t>
              </w:r>
            </w:hyperlink>
          </w:p>
        </w:tc>
        <w:tc>
          <w:tcPr>
            <w:tcW w:type="dxa" w:w="936"/>
          </w:tcPr>
          <w:p>
            <w:r/>
            <w:fldSimple w:instr="PAGEREF orca_ch_072 \h">
              <w:r>
                <w:t>—</w:t>
              </w:r>
            </w:fldSimple>
          </w:p>
        </w:tc>
      </w:tr>
      <w:tr>
        <w:tc>
          <w:tcPr>
            <w:tcW w:type="dxa" w:w="8928"/>
          </w:tcPr>
          <w:p>
            <w:r/>
            <w:hyperlink w:anchor="orca_ch_068">
              <w:r>
                <w:t>ITSM mailbox and requester acceptance evidence</w:t>
              </w:r>
            </w:hyperlink>
          </w:p>
        </w:tc>
        <w:tc>
          <w:tcPr>
            <w:tcW w:type="dxa" w:w="936"/>
          </w:tcPr>
          <w:p>
            <w:r/>
            <w:fldSimple w:instr="PAGEREF orca_ch_068 \h">
              <w:r>
                <w:t>—</w:t>
              </w:r>
            </w:fldSimple>
          </w:p>
        </w:tc>
      </w:tr>
      <w:tr>
        <w:tc>
          <w:tcPr>
            <w:tcW w:type="dxa" w:w="8928"/>
          </w:tcPr>
          <w:p>
            <w:r/>
            <w:hyperlink w:anchor="orca_ch_070">
              <w:r>
                <w:t>Programme release milestone plan</w:t>
              </w:r>
            </w:hyperlink>
          </w:p>
        </w:tc>
        <w:tc>
          <w:tcPr>
            <w:tcW w:type="dxa" w:w="936"/>
          </w:tcPr>
          <w:p>
            <w:r/>
            <w:fldSimple w:instr="PAGEREF orca_ch_070 \h">
              <w:r>
                <w:t>—</w:t>
              </w:r>
            </w:fldSimple>
          </w:p>
        </w:tc>
      </w:tr>
      <w:tr>
        <w:tc>
          <w:tcPr>
            <w:tcW w:type="dxa" w:w="8928"/>
          </w:tcPr>
          <w:p>
            <w:r/>
            <w:hyperlink w:anchor="orca_ch_075">
              <w:r>
                <w:t>Shared contracts and trusted operations</w:t>
              </w:r>
            </w:hyperlink>
          </w:p>
        </w:tc>
        <w:tc>
          <w:tcPr>
            <w:tcW w:type="dxa" w:w="936"/>
          </w:tcPr>
          <w:p>
            <w:r/>
            <w:fldSimple w:instr="PAGEREF orca_ch_075 \h">
              <w:r>
                <w:t>—</w:t>
              </w:r>
            </w:fldSimple>
          </w:p>
        </w:tc>
      </w:tr>
      <w:tr>
        <w:tc>
          <w:tcPr>
            <w:tcW w:type="dxa" w:w="8928"/>
          </w:tcPr>
          <w:p>
            <w:r/>
            <w:hyperlink w:anchor="orca_ch_078">
              <w:r>
                <w:t>Tenant engine settings and access aware navigation</w:t>
              </w:r>
            </w:hyperlink>
          </w:p>
        </w:tc>
        <w:tc>
          <w:tcPr>
            <w:tcW w:type="dxa" w:w="936"/>
          </w:tcPr>
          <w:p>
            <w:r/>
            <w:fldSimple w:instr="PAGEREF orca_ch_078 \h">
              <w:r>
                <w:t>—</w:t>
              </w:r>
            </w:fldSimple>
          </w:p>
        </w:tc>
      </w:tr>
      <w:tr>
        <w:tc>
          <w:tcPr>
            <w:tcW w:type="dxa" w:w="8928"/>
          </w:tcPr>
          <w:p>
            <w:r/>
            <w:hyperlink w:anchor="orca_ch_079">
              <w:r>
                <w:t>Tenant engine administration and navigation implementation</w:t>
              </w:r>
            </w:hyperlink>
          </w:p>
        </w:tc>
        <w:tc>
          <w:tcPr>
            <w:tcW w:type="dxa" w:w="936"/>
          </w:tcPr>
          <w:p>
            <w:r/>
            <w:fldSimple w:instr="PAGEREF orca_ch_079 \h">
              <w:r>
                <w:t>—</w:t>
              </w:r>
            </w:fldSimple>
          </w:p>
        </w:tc>
      </w:tr>
      <w:tr>
        <w:tc>
          <w:tcPr>
            <w:tcW w:type="dxa" w:w="8928"/>
          </w:tcPr>
          <w:p>
            <w:r/>
            <w:hyperlink w:anchor="orca_ch_093">
              <w:r>
                <w:t>Operational invariants and secure integration</w:t>
              </w:r>
            </w:hyperlink>
          </w:p>
        </w:tc>
        <w:tc>
          <w:tcPr>
            <w:tcW w:type="dxa" w:w="936"/>
          </w:tcPr>
          <w:p>
            <w:r/>
            <w:fldSimple w:instr="PAGEREF orca_ch_093 \h">
              <w:r>
                <w:t>—</w:t>
              </w:r>
            </w:fldSimple>
          </w:p>
        </w:tc>
      </w:tr>
      <w:tr>
        <w:tc>
          <w:tcPr>
            <w:tcW w:type="dxa" w:w="8928"/>
          </w:tcPr>
          <w:p>
            <w:r/>
            <w:hyperlink w:anchor="orca_ch_095">
              <w:r>
                <w:t>Migration from the prototype and deployed settings</w:t>
              </w:r>
            </w:hyperlink>
          </w:p>
        </w:tc>
        <w:tc>
          <w:tcPr>
            <w:tcW w:type="dxa" w:w="936"/>
          </w:tcPr>
          <w:p>
            <w:r/>
            <w:fldSimple w:instr="PAGEREF orca_ch_095 \h">
              <w:r>
                <w:t>—</w:t>
              </w:r>
            </w:fldSimple>
          </w:p>
        </w:tc>
      </w:tr>
      <w:tr>
        <w:tc>
          <w:tcPr>
            <w:tcW w:type="dxa" w:w="8928"/>
          </w:tcPr>
          <w:p>
            <w:r/>
            <w:hyperlink w:anchor="orca_ch_097">
              <w:r>
                <w:t>Common test matrix and traceability</w:t>
              </w:r>
            </w:hyperlink>
          </w:p>
        </w:tc>
        <w:tc>
          <w:tcPr>
            <w:tcW w:type="dxa" w:w="936"/>
          </w:tcPr>
          <w:p>
            <w:r/>
            <w:fldSimple w:instr="PAGEREF orca_ch_097 \h">
              <w:r>
                <w:t>—</w:t>
              </w:r>
            </w:fldSimple>
          </w:p>
        </w:tc>
      </w:tr>
      <w:tr>
        <w:tc>
          <w:tcPr>
            <w:tcW w:type="dxa" w:w="8928"/>
          </w:tcPr>
          <w:p>
            <w:r/>
            <w:hyperlink w:anchor="orca_ch_101">
              <w:r>
                <w:t>Confirmed developer decisions and rationale</w:t>
              </w:r>
            </w:hyperlink>
          </w:p>
        </w:tc>
        <w:tc>
          <w:tcPr>
            <w:tcW w:type="dxa" w:w="936"/>
          </w:tcPr>
          <w:p>
            <w:r/>
            <w:fldSimple w:instr="PAGEREF orca_ch_101 \h">
              <w:r>
                <w:t>—</w:t>
              </w:r>
            </w:fldSimple>
          </w:p>
        </w:tc>
      </w:tr>
      <w:tr>
        <w:tc>
          <w:tcPr>
            <w:tcW w:type="dxa" w:w="8928"/>
          </w:tcPr>
          <w:p>
            <w:r/>
            <w:hyperlink w:anchor="orca_ch_125">
              <w:r>
                <w:t>Carried forward findings and traceability 1</w:t>
              </w:r>
            </w:hyperlink>
          </w:p>
        </w:tc>
        <w:tc>
          <w:tcPr>
            <w:tcW w:type="dxa" w:w="936"/>
          </w:tcPr>
          <w:p>
            <w:r/>
            <w:fldSimple w:instr="PAGEREF orca_ch_125 \h">
              <w:r>
                <w:t>—</w:t>
              </w:r>
            </w:fldSimple>
          </w:p>
        </w:tc>
      </w:tr>
      <w:tr>
        <w:tc>
          <w:tcPr>
            <w:tcW w:type="dxa" w:w="8928"/>
          </w:tcPr>
          <w:p>
            <w:r/>
            <w:hyperlink w:anchor="orca_ch_128">
              <w:r>
                <w:t>UI UX implementation review and remediation</w:t>
              </w:r>
            </w:hyperlink>
          </w:p>
        </w:tc>
        <w:tc>
          <w:tcPr>
            <w:tcW w:type="dxa" w:w="936"/>
          </w:tcPr>
          <w:p>
            <w:r/>
            <w:fldSimple w:instr="PAGEREF orca_ch_128 \h">
              <w:r>
                <w:t>—</w:t>
              </w:r>
            </w:fldSimple>
          </w:p>
        </w:tc>
      </w:tr>
      <w:tr>
        <w:tc>
          <w:tcPr>
            <w:tcW w:type="dxa" w:w="8928"/>
          </w:tcPr>
          <w:p>
            <w:r/>
            <w:hyperlink w:anchor="orca_ch_131">
              <w:r>
                <w:t>Development deployment and operational playbook</w:t>
              </w:r>
            </w:hyperlink>
          </w:p>
        </w:tc>
        <w:tc>
          <w:tcPr>
            <w:tcW w:type="dxa" w:w="936"/>
          </w:tcPr>
          <w:p>
            <w:r/>
            <w:fldSimple w:instr="PAGEREF orca_ch_131 \h">
              <w:r>
                <w:t>—</w:t>
              </w:r>
            </w:fldSimple>
          </w:p>
        </w:tc>
      </w:tr>
      <w:tr>
        <w:tc>
          <w:tcPr>
            <w:tcW w:type="dxa" w:w="8928"/>
          </w:tcPr>
          <w:p>
            <w:r/>
            <w:hyperlink w:anchor="orca_ch_132">
              <w:r>
                <w:t>Testing UAT and release verification procedure</w:t>
              </w:r>
            </w:hyperlink>
          </w:p>
        </w:tc>
        <w:tc>
          <w:tcPr>
            <w:tcW w:type="dxa" w:w="936"/>
          </w:tcPr>
          <w:p>
            <w:r/>
            <w:fldSimple w:instr="PAGEREF orca_ch_132 \h">
              <w:r>
                <w:t>—</w:t>
              </w:r>
            </w:fldSimple>
          </w:p>
        </w:tc>
      </w:tr>
      <w:tr>
        <w:tc>
          <w:tcPr>
            <w:tcW w:type="dxa" w:w="8928"/>
          </w:tcPr>
          <w:p>
            <w:r/>
            <w:hyperlink w:anchor="orca_ch_133">
              <w:r>
                <w:t>Azure deployment and production onboarding procedure</w:t>
              </w:r>
            </w:hyperlink>
          </w:p>
        </w:tc>
        <w:tc>
          <w:tcPr>
            <w:tcW w:type="dxa" w:w="936"/>
          </w:tcPr>
          <w:p>
            <w:r/>
            <w:fldSimple w:instr="PAGEREF orca_ch_133 \h">
              <w:r>
                <w:t>—</w:t>
              </w:r>
            </w:fldSimple>
          </w:p>
        </w:tc>
      </w:tr>
      <w:tr>
        <w:tc>
          <w:tcPr>
            <w:tcW w:type="dxa" w:w="8928"/>
          </w:tcPr>
          <w:p>
            <w:r/>
            <w:hyperlink w:anchor="orca_ch_134">
              <w:r>
                <w:t>Incident recovery rollback and customer offboarding</w:t>
              </w:r>
            </w:hyperlink>
          </w:p>
        </w:tc>
        <w:tc>
          <w:tcPr>
            <w:tcW w:type="dxa" w:w="936"/>
          </w:tcPr>
          <w:p>
            <w:r/>
            <w:fldSimple w:instr="PAGEREF orca_ch_134 \h">
              <w:r>
                <w:t>—</w:t>
              </w:r>
            </w:fldSimple>
          </w:p>
        </w:tc>
      </w:tr>
      <w:tr>
        <w:tc>
          <w:tcPr>
            <w:tcW w:type="dxa" w:w="8928"/>
          </w:tcPr>
          <w:p>
            <w:r/>
            <w:hyperlink w:anchor="orca_ch_135">
              <w:r>
                <w:t>Visual reference light theme</w:t>
              </w:r>
            </w:hyperlink>
          </w:p>
        </w:tc>
        <w:tc>
          <w:tcPr>
            <w:tcW w:type="dxa" w:w="936"/>
          </w:tcPr>
          <w:p>
            <w:r/>
            <w:fldSimple w:instr="PAGEREF orca_ch_135 \h">
              <w:r>
                <w:t>—</w:t>
              </w:r>
            </w:fldSimple>
          </w:p>
        </w:tc>
      </w:tr>
    </w:tbl>
    <w:p>
      <w:r>
        <w:t>Use the Word navigation pane for all detailed subheadings, algorithms, contracts, settings and work packages. IDs remain stable; the page references and internal links are navigation aids rather than requirement identifiers.</w:t>
      </w:r>
    </w:p>
    <w:p>
      <w:r>
        <w:t>This is the consolidated implementation baseline for the complete Orca product. It contains the 23 original engines plus Phase 1 M25 and Phase 1 M24, the confirmed hybrid Azure architecture, identity and permission model, Microsoft integrations, optimisation and governance, security operations, AI, File Store and the integrated ITSM, mailbox and requester-portal requirements. Developers can use this document without consulting a separate addendum to establish delivery scope.</w:t>
      </w:r>
    </w:p>
    <w:p>
      <w:pPr>
        <w:pStyle w:val="Heading2"/>
        <w:keepNext/>
      </w:pPr>
      <w:r>
        <w:rPr>
          <w:color w:val="000000"/>
        </w:rPr>
        <w:t>Current attachment decision</w:t>
      </w:r>
    </w:p>
    <w:p>
      <w:r>
        <w:t>File Store remains a standalone searchable repository and the common attachment service. An authenticated user who is authorised to read an eligible file can preview and download it. There is no separate download permission, selected-downloader matrix, download approval, view-only DLP mode, mandatory capture-prevention watermark or print/copy blocking feature. Syncfusion is not required or admitted for this scope; use Radzen and approved MIT UI components.</w:t>
      </w:r>
    </w:p>
    <w:p>
      <w:r>
        <w:t>Normal tenant and file visibility, private-note separation, malware quarantine, evidence custody, legal holds and audit remain. These govern who may access content and whether unsafe content may be released; they must not be implemented as a replacement ordinary-download restriction. Bulk data export and specialised malicious-evidence custody are separate operations from an ordinary attachment download.</w:t>
      </w:r>
    </w:p>
    <w:p>
      <w:pPr>
        <w:pStyle w:val="Heading2"/>
        <w:keepNext/>
      </w:pPr>
      <w:r>
        <w:rPr>
          <w:color w:val="000000"/>
        </w:rPr>
        <w:t>Scope and implementation authority</w:t>
      </w:r>
    </w:p>
    <w:p>
      <w:r>
        <w:t>Required outcomes, security boundaries and acceptance criteria define the WHAT. Suggested schemas, interfaces, algorithms, platforms, thresholds and package choices guide the HOW and remain subject to current research and measured validation. This specification does not assert that the described features have been implemented or tested. Select supported runtime and API versions in the release capability register.</w:t>
      </w:r>
    </w:p>
    <w:p>
      <w:r>
        <w:t>This integrated master contains the product requirements, engine work packages, confirmed decisions, tenant configuration contracts, service-management detail, UI requirements, acceptance traceability and operational handoff in one document. Earlier source identifiers remain stable for traceability; readers do not need separate addenda to establish scope.</w:t>
      </w:r>
    </w:p>
    <w:p>
      <w:bookmarkStart w:id="4" w:name="orca_ch_004"/>
      <w:pPr>
        <w:pStyle w:val="Heading1"/>
        <w:keepNext/>
        <w:pageBreakBefore/>
      </w:pPr>
      <w:r>
        <w:rPr>
          <w:color w:val="000000"/>
        </w:rPr>
        <w:t>Product scope and delivery priorities</w:t>
      </w:r>
      <w:bookmarkEnd w:id="4"/>
    </w:p>
    <w:tbl>
      <w:tblPr>
        <w:tblW w:type="auto" w:w="0"/>
        <w:tblLayout w:type="fixed"/>
        <w:tblLook w:firstColumn="1" w:firstRow="1" w:lastColumn="0" w:lastRow="0" w:noHBand="0" w:noVBand="1" w:val="04A0"/>
      </w:tblPr>
      <w:tblGrid>
        <w:gridCol w:w="2520"/>
        <w:gridCol w:w="7560"/>
      </w:tblGrid>
      <w:tr>
        <w:trPr>
          <w:tblHeader/>
          <w:cantSplit/>
        </w:trPr>
        <w:tc>
          <w:tcPr>
            <w:tcW w:type="dxa" w:w="432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Delivery stage</w:t>
            </w:r>
          </w:p>
        </w:tc>
        <w:tc>
          <w:tcPr>
            <w:tcW w:type="dxa" w:w="432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outcome</w:t>
            </w:r>
          </w:p>
        </w:tc>
      </w:tr>
      <w:tr>
        <w:trPr>
          <w:cantSplit/>
        </w:trPr>
        <w:tc>
          <w:tcPr>
            <w:tcW w:type="dxa" w:w="252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Shared foundation</w:t>
            </w:r>
          </w:p>
        </w:tc>
        <w:tc>
          <w:tcPr>
            <w:tcW w:type="dxa" w:w="75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lifecycle, Entra identity, Permission Manager, audit, storage, connector identity and read-only source access.</w:t>
            </w:r>
          </w:p>
        </w:tc>
      </w:tr>
      <w:tr>
        <w:trPr>
          <w:cantSplit/>
        </w:trPr>
        <w:tc>
          <w:tcPr>
            <w:tcW w:type="dxa" w:w="252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First business capability</w:t>
            </w:r>
          </w:p>
        </w:tc>
        <w:tc>
          <w:tcPr>
            <w:tcW w:type="dxa" w:w="75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Azure cost optimisation, Microsoft posture scores, licensing, Entra/M365 and DevOps governance; executive and technical dashboards.</w:t>
            </w:r>
          </w:p>
        </w:tc>
      </w:tr>
      <w:tr>
        <w:trPr>
          <w:cantSplit/>
        </w:trPr>
        <w:tc>
          <w:tcPr>
            <w:tcW w:type="dxa" w:w="252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and service phase</w:t>
            </w:r>
          </w:p>
        </w:tc>
        <w:tc>
          <w:tcPr>
            <w:tcW w:type="dxa" w:w="75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 Store and assets; security incident feeds; ITSM board, mailbox rules, requester portal, assignments, SLA and escalation.</w:t>
            </w:r>
          </w:p>
        </w:tc>
      </w:tr>
      <w:tr>
        <w:trPr>
          <w:cantSplit/>
        </w:trPr>
        <w:tc>
          <w:tcPr>
            <w:tcW w:type="dxa" w:w="252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Advanced operations</w:t>
            </w:r>
          </w:p>
        </w:tc>
        <w:tc>
          <w:tcPr>
            <w:tcW w:type="dxa" w:w="75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ATTACK/control metrics, change/problem workflows, governed AI and budgets, internet research, automated response and remaining integrations.</w:t>
            </w:r>
          </w:p>
        </w:tc>
      </w:tr>
      <w:tr>
        <w:tc>
          <w:tcPr>
            <w:tcW w:type="dxa" w:w="2520"/>
          </w:tcPr>
          <w:p>
            <w:r>
              <w:t>Phase 1 after required dependencies</w:t>
            </w:r>
          </w:p>
        </w:tc>
        <w:tc>
          <w:tcPr>
            <w:tcW w:type="dxa" w:w="7560"/>
          </w:tcPr>
          <w:p>
            <w:r>
              <w:t>M24 Azure and Microsoft 365 desired state monitoring, mandatory drift tickets, controlled reversion and approved baseline promotion.</w:t>
            </w:r>
          </w:p>
        </w:tc>
      </w:tr>
      <w:tr>
        <w:tc>
          <w:tcPr>
            <w:tcW w:type="dxa" w:w="2520"/>
          </w:tcPr>
          <w:p>
            <w:r>
              <w:t>Phase 1 intake readiness</w:t>
            </w:r>
          </w:p>
        </w:tc>
        <w:tc>
          <w:tcPr>
            <w:tcW w:type="dxa" w:w="7560"/>
          </w:tcPr>
          <w:p>
            <w:r>
              <w:t>M25 template catalogue, guided forms, custom template builder and governed publication ship with the corresponding ITSM and security intake capabilities before M24 Phase 1.</w:t>
            </w:r>
          </w:p>
        </w:tc>
      </w:tr>
    </w:tbl>
    <w:p>
      <w:pPr>
        <w:spacing w:before="100"/>
      </w:pPr>
      <w:r>
        <w:t>Module numbers identify ownership, not delivery order. Enable and accept modules independently within compatible versioned host deployments. Preserve Sentinel-before-Defender inside the security incident phase. ITSM intake and the requester portal do not depend on Sentinel and can be piloted independently once identity, UAM and ticket ownership are ready.</w:t>
      </w:r>
    </w:p>
    <w:p>
      <w:pPr>
        <w:pStyle w:val="Heading2"/>
        <w:keepNext/>
      </w:pPr>
      <w:r>
        <w:rPr>
          <w:color w:val="000000"/>
        </w:rPr>
        <w:t>Security incidents and ITSM tickets</w:t>
      </w:r>
    </w:p>
    <w:p>
      <w:r>
        <w:t>M04 owns NIST-aligned cybersecurity incidents and supported Microsoft bidirectional synchronisation. M21 owns technical incidents and service requests using service-management lifecycles. M22 converts eligible mailbox messages into M21 commands. M23 provides authenticated requester views and submission. Both requester and mailbox tickets use the same ticket board, ticket identity, assignment groups and lifecycle.</w:t>
      </w:r>
    </w:p>
    <w:p>
      <w:r>
        <w:t>Use typed links when a technical outage is related to a security incident, problem, change or asset. Preserve the owning aggregate, permissions and closure rules. A technical restoration must not automatically resolve a security incident, and a received email must not automatically create or update a Microsoft incident.</w:t>
      </w:r>
    </w:p>
    <w:p>
      <w:pPr>
        <w:pStyle w:val="Heading2"/>
        <w:keepNext/>
      </w:pPr>
      <w:r>
        <w:rPr>
          <w:color w:val="000000"/>
        </w:rPr>
        <w:t>Document navigation</w:t>
      </w:r>
    </w:p>
    <w:p>
      <w:r>
        <w:t>The module register provides the complete ownership and dependency map. Each existing engine chapter retains required outcomes, workflows, acceptance tests and detailed designs, followed by its integrated developer work packages. M21 to M23 contain the new service-management detail. Global chapters contain role and permission catalogues, APIs/contracts, traceability, the complete release plan and research boundaries. Use the Word navigation pane to move between headings.</w:t>
      </w:r>
    </w:p>
    <w:p>
      <w:bookmarkStart w:id="5" w:name="orca_ch_005"/>
      <w:pPr>
        <w:pStyle w:val="Heading1"/>
        <w:keepNext/>
        <w:pageBreakBefore/>
      </w:pPr>
      <w:r>
        <w:rPr>
          <w:color w:val="000000"/>
        </w:rPr>
        <w:t>Current scope decisions and conflict resolution</w:t>
      </w:r>
      <w:bookmarkEnd w:id="5"/>
    </w:p>
    <w:tbl>
      <w:tblPr>
        <w:tblW w:type="auto" w:w="0"/>
        <w:tblLayout w:type="fixed"/>
        <w:tblLook w:firstColumn="1" w:firstRow="1" w:lastColumn="0" w:lastRow="0" w:noHBand="0" w:noVBand="1" w:val="04A0"/>
      </w:tblPr>
      <w:tblGrid>
        <w:gridCol w:w="2376"/>
        <w:gridCol w:w="7704"/>
      </w:tblGrid>
      <w:tr>
        <w:trPr>
          <w:tblHeader/>
          <w:cantSplit/>
        </w:trPr>
        <w:tc>
          <w:tcPr>
            <w:tcW w:type="dxa" w:w="432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Decision</w:t>
            </w:r>
          </w:p>
        </w:tc>
        <w:tc>
          <w:tcPr>
            <w:tcW w:type="dxa" w:w="432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Consolidated requirement</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UI and licensing</w:t>
            </w:r>
          </w:p>
        </w:tc>
        <w:tc>
          <w:tcPr>
            <w:tcW w:type="dxa" w:w="77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Blazor Server with Radzen Software-based Orca Light/Dark. Added UI code is MIT; retain accepted asset and non-UI dependency policy. No Syncfusion.</w:t>
            </w:r>
          </w:p>
        </w:tc>
      </w:tr>
      <w:tr>
        <w:trPr>
          <w:cantSplit/>
        </w:trPr>
        <w:tc>
          <w:tcPr>
            <w:tcW w:type="dxa" w:w="237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Attachment reads</w:t>
            </w:r>
          </w:p>
        </w:tc>
        <w:tc>
          <w:tcPr>
            <w:tcW w:type="dxa" w:w="77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File-read access permits eligible ordinary preview and download. No separate download permission, request, approval or DLP viewer.</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 types</w:t>
            </w:r>
          </w:p>
        </w:tc>
        <w:tc>
          <w:tcPr>
            <w:tcW w:type="dxa" w:w="77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PDF, TXT, Office, CSV/TSV and images plus explicit SOC evidence profiles; unsupported preview can fall back to eligible download.</w:t>
            </w:r>
          </w:p>
        </w:tc>
      </w:tr>
      <w:tr>
        <w:trPr>
          <w:cantSplit/>
        </w:trPr>
        <w:tc>
          <w:tcPr>
            <w:tcW w:type="dxa" w:w="237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architecture</w:t>
            </w:r>
          </w:p>
        </w:tc>
        <w:tc>
          <w:tcPr>
            <w:tcW w:type="dxa" w:w="77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MongoDB Atlas defaults, separate tenant databases, customer operational/content placement and operator-held trusted authority remain.</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w:t>
            </w:r>
          </w:p>
        </w:tc>
        <w:tc>
          <w:tcPr>
            <w:tcW w:type="dxa" w:w="77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Azure OpenAI and fully local AI remain required end-state routes; LocalOnly first, authorised library retrieval before web expansion.</w:t>
            </w:r>
          </w:p>
        </w:tc>
      </w:tr>
      <w:tr>
        <w:trPr>
          <w:cantSplit/>
        </w:trPr>
        <w:tc>
          <w:tcPr>
            <w:tcW w:type="dxa" w:w="237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Incidents</w:t>
            </w:r>
          </w:p>
        </w:tc>
        <w:tc>
          <w:tcPr>
            <w:tcW w:type="dxa" w:w="77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 security incidents and M21 technical incidents remain distinct; a shared work projection does not combine their state machines.</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Mailbox</w:t>
            </w:r>
          </w:p>
        </w:tc>
        <w:tc>
          <w:tcPr>
            <w:tcW w:type="dxa" w:w="77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Graph v1.0 read-only, scoped mail ingestion first; deterministic rules, receipt deduplication and safe threading. Sending is separately enabled.</w:t>
            </w:r>
          </w:p>
        </w:tc>
      </w:tr>
      <w:tr>
        <w:trPr>
          <w:cantSplit/>
        </w:trPr>
        <w:tc>
          <w:tcPr>
            <w:tcW w:type="dxa" w:w="237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Requester portal</w:t>
            </w:r>
          </w:p>
        </w:tc>
        <w:tc>
          <w:tcPr>
            <w:tcW w:type="dxa" w:w="77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Entra authenticated, own/delegated tickets, public updates/attachments, requester approvals and resolution acceptance.</w:t>
            </w:r>
          </w:p>
        </w:tc>
      </w:tr>
      <w:tr>
        <w:trPr>
          <w:cantSplit/>
        </w:trPr>
        <w:tc>
          <w:tcPr>
            <w:tcW w:type="dxa" w:w="237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Service operations</w:t>
            </w:r>
          </w:p>
        </w:tc>
        <w:tc>
          <w:tcPr>
            <w:tcW w:type="dxa" w:w="77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Groups, analysts, shifts, tasks, SLA/OLA, escalation, major incidents, requests, catalogue, knowledge, changes and problems.</w:t>
            </w:r>
          </w:p>
        </w:tc>
      </w:tr>
      <w:tr>
        <w:trPr>
          <w:cantSplit/>
        </w:trPr>
        <w:tc>
          <w:tcPr>
            <w:tcW w:type="dxa" w:w="237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Release priority</w:t>
            </w:r>
          </w:p>
        </w:tc>
        <w:tc>
          <w:tcPr>
            <w:tcW w:type="dxa" w:w="77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Cost, licensing, governance and scores precede incidents; all 23 engines remain in programme scope.</w:t>
            </w:r>
          </w:p>
        </w:tc>
      </w:tr>
    </w:tbl>
    <w:p>
      <w:pPr>
        <w:spacing w:before="100"/>
      </w:pPr>
      <w:r>
        <w:t>Ordinary file downloading is not optional per role once file-read access and content eligibility exist. Customer users see only the documents they are authorised to read; the same rule applies to all entry points. An upload, retention or deletion permission remains independent. Sensitive AI use remains separately governed and is not a download-control feature.</w:t>
      </w:r>
    </w:p>
    <w:p>
      <w:bookmarkStart w:id="6" w:name="orca_ch_006"/>
      <w:pPr>
        <w:pStyle w:val="Heading1"/>
        <w:keepNext/>
        <w:pageBreakBefore/>
      </w:pPr>
      <w:r>
        <w:rPr>
          <w:color w:val="000000"/>
        </w:rPr>
        <w:t>Identity tenancy and permission decisions</w:t>
      </w:r>
      <w:bookmarkEnd w:id="6"/>
    </w:p>
    <w:p>
      <w:r>
        <w:t>The portal is single tenant in the operator Entra directory per environment. Operators use member accounts; customer users are B2B guests. Contractors needing operator roles receive member accounts. Guests may hold Customer.* roles and the tenant membership marker only; a guest with SOC IR DFIR ITSM Platform or Emergency claims is denied those contributions and flagged. A token issued by a customer directory is not a portal operator token. Validate issuer audience signature time and environment before evaluating application access.</w:t>
      </w:r>
    </w:p>
    <w:p>
      <w:r>
        <w:t>Role groups AISOC-&lt;Role&gt; and tenant groups AISOC-T-&lt;Code&gt; are separate, bound by immutable object IDs. Nonproduction uses separate registrations and groups. App role assignment requires direct membership in assigned groups; nested membership is not relied on. Operator Entra P2 is reported in place. Entitlement management access packages invite guests with customer sponsor approval expiry and review; manual operator invitation is the fallback. The SOC does not write directory memberships.</w:t>
      </w:r>
    </w:p>
    <w:p>
      <w:r>
        <w:t>Permission Manager reused and adapted from Audit AI is the single M02 policy authority. There is no external UAM product or invented UAM REST decision service to procure. Roles set the ceiling; the versioned local matrix narrows it by tenant team resource sensitivity action and condition. All held roles apply across authorised member tenants by default under SOC-D013. A tenant override is absent to inherit, an explicit set to narrow, or an explicit empty set to remove every role. It cannot add an unheld role. This supersedes the study qualification that privileged roles require separate tenant assignment.</w:t>
      </w:r>
    </w:p>
    <w:p>
      <w:r>
        <w:t>For each effective role, combine its allows and remove its role-scoped denies. Union the remaining role contributions. A subject-scoped deny overrides the whole union. Context membership resource scope and separation of duties still constrain the result; unconfigured permission denies. Platform.SuperAdmin permits platform administration only and has no tenant content bypass. A time bounded support session grants only its named scope and cannot defeat subject denies or independent approval rules.</w:t>
      </w:r>
    </w:p>
    <w:p>
      <w:r>
        <w:t>Interactive identity is obtained from the authenticated request or Blazor circuit by the foundation-owned IRequestPrincipal. Engines cannot supply fabricate or implement it. Job identity comes from a registered job runner and an authenticated requester stamp or a separately registered system identity. Background jobs cannot create system authority by passing a null requester. Recheck local entitlement and matrix versions at each operation; immediate local revocation uses version invalidation, while Entra removal remains subject to observed token and directory freshness.</w:t>
      </w:r>
    </w:p>
    <w:p>
      <w:r>
        <w:t>Tenant lifecycle distinguishes Active ReadOnly Suspended and Quarantined. ReadOnly blocks mutations and response dispatch; Suspended denies content access and queued commands; Quarantined denies all affected store access until authorised recovery. Health Degraded does not itself authorise reads or writes. Route /t/{code} resolves the immutable unique tenant code per call. Cross-tenant /all views fan out only across permitted memberships with per-tenant filters timeouts partial-result labels and no unapproved aggregate leakage.</w:t>
      </w:r>
    </w:p>
    <w:p>
      <w:bookmarkStart w:id="7" w:name="orca_ch_007"/>
      <w:pPr>
        <w:pStyle w:val="Heading1"/>
        <w:keepNext/>
        <w:pageBreakBefore/>
      </w:pPr>
      <w:r>
        <w:rPr>
          <w:color w:val="000000"/>
        </w:rPr>
        <w:t>Deployment and trusted data placement</w:t>
      </w:r>
      <w:bookmarkEnd w:id="7"/>
    </w:p>
    <w:p>
      <w:r>
        <w:t>Use one Blazor Server application project with engine folders and internal ports; source and compiled dependency checks enforce ownership. Modularity means independent acceptance and tenant enablement within versioned host deployments. It does not promise hot loading or separate deployment per engine. The document engine and optional customer runner are separate solutions or versioned packages. The same application binary may run in Reader and Executor modes with different identities and available services.</w:t>
      </w:r>
    </w:p>
    <w:p>
      <w:r>
        <w:t>App Service runs on Windows. The Reader hosts UI read adapters and scheduled foundation work without response credentials. The Executor has the Respond identity and only the explicitly scheduled dispatch pass; the latest F5 default says it runs no Hangfire server. Treat this process isolation as a security boundary even though the code project is shared. Jobs and Data Protection live on the operator side. Service Bus is not a confirmed dependency: the proposed initial transport is durable Mongo outbox and Hangfire for Reader jobs, with a measured dispatch sweep for Executor work.</w:t>
      </w:r>
    </w:p>
    <w:p>
      <w:r>
        <w:t>MongoDB Atlas is preferred for both customer-provided and operator-managed clusters. The default is a customer-provided cluster per tenant. Each customer provides the named operational database and a separate content database for the document engine, with tenant-specific credentials and exact database grants. Sharing a customer cluster is limited to that customer and its sister entities, each with separate databases and credentials. The application validates endpoint allowlists TLS credentials database names marker records and observed cluster identity; it never assumes network access or provisions a customer cluster automatically.</w:t>
      </w:r>
    </w:p>
    <w:p>
      <w:r>
        <w:t>Keep an operator-held database per tenant for audit immutable approvals commands internal notes AI usage and traces jobs notification receipts and other execution authority. The customer administrator is outside that trust boundary. The control database contains sensitive registry identity matrix and source-route metadata with encryption and narrowly scoped access; it is not a public or nonsensitive-only database. Store secrets in Key Vault and registry references only. Customer-stored facts and engine decisions are advisory inputs, never executable authorisation.</w:t>
      </w:r>
    </w:p>
    <w:p>
      <w:r>
        <w:t>Customer operational writes and operator audit are on different clusters and cannot share a Mongo transaction. Use an operator Intent before a customer write, a customer transaction with an operation proof, then an operator Outcome after read back. Publish customer-held events only when the operator Outcome confirms them. Timeout or missing proof is Unknown or Undetermined, never success inferred from absence. Production refuses nontransactional fallback. Exact F5 serialisation hash versions retention and terminal-state defaults remain subject to the decisions appendix.</w:t>
      </w:r>
    </w:p>
    <w:p>
      <w:r>
        <w:t>Operator-held recovery targets are RTO 4 hours and RPO 15 minutes, to be demonstrated before production. They do not cover customer-held databases or rebuild time of customer-derived vectors. Record customer backup and recovery responsibilities at onboarding. Restore customer data through quarantine and reconciliation; never assume an Atlas cluster snapshot restores one database directly. Restore a temporary cluster when needed, then perform a tested logical export and restore of approved namespaces. A downloaded raw snapshot is not a mongorestore archive.</w:t>
      </w:r>
    </w:p>
    <w:p>
      <w:r>
        <w:t>Capacity must count databases collections indexes users client pools monitoring sockets active jobs and per-tenant engine containers. Atlas documents project and tier limits; size the actual pinned topology, not a global M40 prescription. Cache clients by validated connection identity; bound active tenants pools and engine workers. The operator credential layout is an open design choice: database-scoped credentials or limited cohorts with strict resolver enforcement, with project partitioning if required. Do not multiply a client per tenant per UI circuit.</w:t>
      </w:r>
    </w:p>
    <w:p>
      <w:r>
        <w:drawing>
          <wp:inline xmlns:a="http://schemas.openxmlformats.org/drawingml/2006/main" xmlns:pic="http://schemas.openxmlformats.org/drawingml/2006/picture">
            <wp:extent cx="6217920" cy="3262772"/>
            <wp:docPr id="1" name="Picture 4"/>
            <wp:cNvGraphicFramePr>
              <a:graphicFrameLocks noChangeAspect="1"/>
            </wp:cNvGraphicFramePr>
            <a:graphic>
              <a:graphicData uri="http://schemas.openxmlformats.org/drawingml/2006/picture">
                <pic:pic>
                  <pic:nvPicPr>
                    <pic:cNvPr id="0" name="trust_boundaries.png"/>
                    <pic:cNvPicPr/>
                  </pic:nvPicPr>
                  <pic:blipFill>
                    <a:blip r:embed="rId13"/>
                    <a:stretch>
                      <a:fillRect/>
                    </a:stretch>
                  </pic:blipFill>
                  <pic:spPr>
                    <a:xfrm>
                      <a:off x="0" y="0"/>
                      <a:ext cx="6217920" cy="3262772"/>
                    </a:xfrm>
                    <a:prstGeom prst="rect"/>
                  </pic:spPr>
                </pic:pic>
              </a:graphicData>
            </a:graphic>
          </wp:inline>
        </w:drawing>
      </w:r>
    </w:p>
    <w:p>
      <w:pPr>
        <w:pStyle w:val="Caption"/>
      </w:pPr>
      <w:r>
        <w:rPr>
          <w:color w:val="000000"/>
        </w:rPr>
        <w:t>Figure Storage trust boundaries. The separate local/cloud AI routes remain governed by M10 and are not shown in this storage-only view.</w:t>
      </w:r>
    </w:p>
    <w:p>
      <w:bookmarkStart w:id="8" w:name="orca_ch_008"/>
      <w:pPr>
        <w:pStyle w:val="Heading1"/>
        <w:keepNext/>
        <w:pageBreakBefore/>
      </w:pPr>
      <w:r>
        <w:rPr>
          <w:color w:val="000000"/>
        </w:rPr>
        <w:t>Connectors and Microsoft source boundaries</w:t>
      </w:r>
      <w:bookmarkEnd w:id="8"/>
    </w:p>
    <w:p>
      <w:r>
        <w:t>Use separate Read and Respond multi-tenant connector app registrations per environment. A federated credential trusts only that environment identity. Nonproduction registrations are consented only in operator-owned test tenants. Obtain customer admin consent per enabled capability; Respond credentials exist only in Executor. A customer-owned registration uses the same adapter with separate Read and Respond applications. Azure Lighthouse can supply supported Azure resource delegation, not Microsoft Graph consent or arbitrary data-plane rights.</w:t>
      </w:r>
    </w:p>
    <w:p>
      <w:r>
        <w:t>Graph v1.0 unified incidents alerts and hunting are the default. SecurityInsights remains for Sentinel resource management and manually API or playbook created incident exceptions. Maintain one authoritative ingress and outbound route per field and native-sync group. Native device inventory and machine actions are permitted only after a dated capability check; native advanced hunting is excluded. Polling and reconciliation are the baseline unless a specific change-notification resource is proven supported. [V5-S01 to V5-S04]</w:t>
      </w:r>
    </w:p>
    <w:p>
      <w:r>
        <w:t>Read Graph evolvable statuses with Prefer include-unknown-enum-members. active inProgress resolved awaitingAction redirected and unknown future values are distinct. redirected creates an alias to redirectIncidentId; it never closes the canonical record as resolved. awaitingAction is provider-owned and is not a generic writable status. Keep raw values and unknown states visible. Source enums accepted on reads are not automatically valid writable values.</w:t>
      </w:r>
    </w:p>
    <w:p>
      <w:r>
        <w:t>Graph assignedTo is text, whereas the Sentinel owner model can represent a group. Map each supported route explicitly. Azure-portal comment edits are not propagated to Defender and new alerts do not reopen a closed incident through Sentinel grouping. Reconcile these documented exceptions without promising unsupported symmetry. Full bidirectional synchronisation covers supported operations with per-field proof, not every local data field.</w:t>
      </w:r>
    </w:p>
    <w:p>
      <w:r>
        <w:t>The hunting broker binds customer directory and explicit workspace. runHuntingQuery may fall back to the caller primary workspace when the requested one is inaccessible. Prove the effective workspace with reliable provenance and a negative access test; if that cannot be proven, refuse scoped hunting or use an authorised workspace-specific query route. An empty result or a successful HTTP response is not scope proof. Restrict KQL tables time range output and cost, and never execute a model-produced query without validation.</w:t>
      </w:r>
    </w:p>
    <w:p>
      <w:r>
        <w:t>Azure public cloud is the accepted source scope; Government and 21Vianet are excluded under SOC-D017, not silently treated as supported. The source capability register identifies cloud model endpoint version permission consent licensing read/write fields testing date and missing coverage. Use Graph auditLog queries for asynchronous investigation; use existing Sentinel or the Management Activity feed for continuous audit collection. Do not infer a universal Purview API or rely on an unverified Message Center retirement date.</w:t>
      </w:r>
    </w:p>
    <w:p>
      <w:bookmarkStart w:id="9" w:name="orca_ch_009"/>
      <w:pPr>
        <w:pStyle w:val="Heading1"/>
        <w:keepNext/>
        <w:pageBreakBefore/>
      </w:pPr>
      <w:r>
        <w:rPr>
          <w:color w:val="000000"/>
        </w:rPr>
        <w:t>File Store document engine and local AI</w:t>
      </w:r>
      <w:bookmarkEnd w:id="9"/>
    </w:p>
    <w:p>
      <w:r>
        <w:t>M03 owns file identities immutable versions incident links custody ACLs quarantine and retention. M04 stores FileReference links rather than a competing evidence collection. Metadata and ordinary full text search remain useful without M10 or M11. Any AI indexing embedding OCR or classification call requires M10 policy and M11 reservation; absent optional modules show AI indexing unavailable while core file functions remain enabled. File ACL scan-verdict hash custody and hold metadata are operator-held authority; extracted document text is customer-held derived content and is checked against the immutable source version for citations.</w:t>
      </w:r>
    </w:p>
    <w:p>
      <w:r>
        <w:t>Evidence bytes use operator-hosted Blob containers per tenant. Defender for Storage performs asynchronous scanning with automated malware remediation disabled for evidence. Accept authenticated scan events only after correlating object version hash and scan time; writable blob tags are not an authority. Pending Error NotScanned MaliciousEvidence and Clean are distinct. Preserve malware under custody and legal hold, never preview extract index or send it to AI. Only a specifically authorised custodian can export a wrapped encrypted copy with a custody record. [V5-S05]</w:t>
      </w:r>
    </w:p>
    <w:p>
      <w:r>
        <w:t>Files outside scanner support, including blobs above the documented 50 GB limit or encrypted inputs it cannot inspect, remain NotScanned with hash and custody only. Interrupted or invalid uploads may fail without deleting previously accepted evidence. Scanner outage never becomes Clean. Verify the current storage and scan configuration during deployment. A Passthrough or MpCmdRun provider is not a production scanner in the App Service sandbox.</w:t>
      </w:r>
    </w:p>
    <w:p>
      <w:r>
        <w:t>Current Defender scan-result Event Grid delivery does not support a topic with public network access disabled. The network design must choose an authenticated narrowly scoped supported event path, or an approved polling/reconciliation path using authoritative scan results such as Log Analytics. Private data endpoints do not prove scan-result delivery works. The pilot must test delayed duplicate missing spoofed and stale verdicts and record the selected service cost and privacy terms.</w:t>
      </w:r>
    </w:p>
    <w:p>
      <w:r>
        <w:t>Document Processor is hosted in a separate lazy DI container per tenant with a unique database set and nonempty Qdrant collection prefix. Never share a global hash content identity across tenants. Engine content databases remain customer-side under SOC-D032; jobs usage and protected verification records remain operator-side. The register reports E1 E2 E3 E5 E6 built; verify package stamp source provenance interfaces and the two-cluster integration before reuse. E4 shared-container tenancy is deferred, not implicitly accepted.</w:t>
      </w:r>
    </w:p>
    <w:p>
      <w:r>
        <w:t>The host resolves permitted document references and applies ACLs before retrieval ranking and again before prompt assembly and history display. Hash-based lookup attach dedup and deletion never reveal another tenant. Qdrant on the Azure VM uses tenant and model-specific collection names and a trusted retrieval service; the per-tenant prefix is mandatory even when identical bytes produce identical point IDs. One container failure cannot sweep another tenant vectors.</w:t>
      </w:r>
    </w:p>
    <w:p>
      <w:r>
        <w:t>Use local AI first for the initial M10 release. Azure OpenAI remains a configurable alternative and full cloud-path acceptance is required before programme completion. LocalOnly covers generation embeddings and any AI OCR classification or reranking, with no cloud AI fallback. Connect through authenticated private network routing from App Service via VNet integration and approved VPN or equivalent routing; the local endpoint remains private. A streaming runner is a separate optional later design, never assumed by a long-poll command relay. [V5-S11]</w:t>
      </w:r>
    </w:p>
    <w:p>
      <w:r>
        <w:t>M10 owns the human-labelled evaluation pack: proposed minimum 200 question and answer cases, stratified across operational facts document citations unsupported answers source conflicts injection cross-tenant attempts and unsafe recommendations, with a held-out set and independent ModelReviewer sign off. Proposed quantity and quality thresholds require review; zero cross-tenant disclosure and zero unauthorised tool execution remain hard gates. Confidence means evidence support, not model self-certainty or a probability without validation.</w:t>
      </w:r>
    </w:p>
    <w:p>
      <w:r>
        <w:t>Library chat ships before internet research. WebOnly and Combined remain required subsequent M10 scope with an SSRF resistant broker and separate tenant permission; disabled means unavailable, not a silent fallback. Remove Radzen AI service registrations or route every AI capable component through M10 and M11. LocalOnly does not make Azure storage scanning or approved source-connector traffic an on-premises operation; these have separate customer data and privacy approval.</w:t>
      </w:r>
    </w:p>
    <w:p>
      <w:bookmarkStart w:id="10" w:name="orca_ch_010"/>
      <w:pPr>
        <w:pStyle w:val="Heading1"/>
        <w:keepNext/>
        <w:pageBreakBefore w:val="0"/>
      </w:pPr>
      <w:r>
        <w:rPr>
          <w:color w:val="000000"/>
        </w:rPr>
        <w:t>Ownership approvals routing and reporting</w:t>
      </w:r>
      <w:bookmarkEnd w:id="10"/>
    </w:p>
    <w:p>
      <w:r>
        <w:t>M09 accepts a WorkReference for incidents changes and problems. It commits its own cursor and assignment lease, then emits an assignment proposal. The owning engine applies the assignment with its revision check and acknowledges it; M09 finalises or expires the lease. No M09 transaction directly writes M04 M13 or M14 collections. Assignment never grants data access.</w:t>
      </w:r>
    </w:p>
    <w:p>
      <w:r>
        <w:t>M12 initial playbooks are versioned ordered steps with preconditions deadlines verification and separately approved compensation; fan-out DAG execution is optional expansion. State transitions include Running to Accepted to Verifying, UnknownOutcome to Verifying on read back, and Failed or Succeeded to Compensating where valid. Unknown outcomes do not permit blind destructive retries.</w:t>
      </w:r>
    </w:p>
    <w:p>
      <w:r>
        <w:t>Immediately before dispatch obtain a live signed short-lived single-use go decision bound to environment tenant command target parameters approval policy and expiry. The Executor or customer runner rechecks signature replay state and local exclusions. Kill switch revoked approval lost membership ReadOnly Suspended or Quarantined denies the go decision. If the service is unavailable, fail closed. Authorisation linearises at go issuance; the bounded interval until provider acceptance must be measured and disclosed rather than claiming instantaneous cancellation of an already accepted action.</w:t>
      </w:r>
    </w:p>
    <w:p>
      <w:r>
        <w:t>Notification receipts and authenticated acknowledgements are operator-held because they can influence assignment and escalation. Rendering a bell item is not acknowledgement. Teams delivery needs tenant consent app installation and a validated bot conversation. A targeted notification subrelease is brought forward to the first business release; specialist source adapters remain later. [V5-S12]</w:t>
      </w:r>
    </w:p>
    <w:p>
      <w:r>
        <w:t>M15 uses versioned facts published by owning engines, with factId tenant owner source revision definition version observation window and asOf time. Operator-held per-tenant projections support current-customer dashboards. Cross-customer views are later opt-in fan-outs or approved aggregate projections; they do not copy named user activity or customer confidential records into a shared index. Repeated facts upsert once and late changes recompute the affected period.</w:t>
      </w:r>
    </w:p>
    <w:p>
      <w:r>
        <w:t>Executive and technical dashboards for M17 to M20 are first priority. Retain billing scope currency native score model and coverage; unknown inactive-user evidence is not inactivity and unused licence capacity is not verified invoice saving. Compare score percentages only within a compatible model and scope. The analysis contains no M17 to M20 sizing, so no 16-engine estimate is promoted to a whole-programme commitment.</w:t>
      </w:r>
    </w:p>
    <w:p>
      <w:bookmarkStart w:id="11" w:name="orca_ch_011"/>
      <w:pPr>
        <w:pStyle w:val="Heading1"/>
        <w:keepNext/>
        <w:pageBreakBefore/>
      </w:pPr>
      <w:r>
        <w:rPr>
          <w:color w:val="000000"/>
        </w:rPr>
        <w:t>Module register</w:t>
      </w:r>
      <w:bookmarkEnd w:id="11"/>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Engine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Purpose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dependencies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Platform and tenant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 the shared Blazor Server shell, isolated tenants, module lifecycle and operational safeguards.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None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M02 UAM permission matrix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Enforce central granular authorisation independently from Entra authentication and application role assignment.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 File Store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Offer a standalone searchable document repository with versioned incident evidence attachments.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optional M10/M11 for AI indexing, not basic files or metadata search</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 Unified security incident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one portal and canonical incident queue for all authorised sources with NIST aligned handling.</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at least one feed or manual entry</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M05 Sentinel integration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Reuse existing Sentinel collection and analytics instead of replicating its source connector catalogue.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M04</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M06 Defender integration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Expose Defender incidents evidence inventory and supported response capabilities without duplicate source ingestion.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M04</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M07 Agentless asset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Build an asset inventory from existing connected datasets with no additional AI SOC endpoint agent.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one inventory contributor</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M08 ATTACK and control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Maintain official ATTACK taxonomy and map incidents and controls to measurable attack coverage.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incident and asset links optional</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M09 Team shift and routing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 work fairly with primary backup coverage and traceable handover.</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consumes routable work from available engines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 AI and chat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governed cloud or local investigation and chat with authorised document and internet references.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M11; M03 optional for library sources; library AI indexing unavailable until M10/M11</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M11 AI budget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Allocate and enforce token and optional monetary usage at tenant group user and service levels.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 Response orchestration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Execute low risk automation and approved high impact actions with verification and audit.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M04; target adapter required; Change optional policy gate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M13 Change Request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controlled technical changes with risk approvals scheduling execution evidence and post implementation review.</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optional Assets File Store Routing Response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M14 Problem Management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Investigate recurring or significant incident causes and manage known errors workarounds and permanent resolution.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incident references optional</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M15 Reporting and attack metrics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 tenant scoped incident service attack asset change problem and usage measurements.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reads only installed contributors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M16 Integration extension and notification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Retain broad Microsoft integration scope while adding specialised adapters only where aggregated feeds leave a demonstrated gap.</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M04 for incident contribution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Azure cost and resource optimisation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Identify subscription cost drivers underused resources excess capacity and suitable commitments, then govern measured optimisation.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M07 enriches context; no Sentinel requirement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Entra and Microsoft 365 governance and licence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Identify inactive identities unused or misassigned licences and governance gaps using existing directory usage and configuration datasets.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optional M07 M13 M17</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Azure DevOps efficiency and governance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organisation access entitlements delivery consumption and security configuration without coupling releases to the incident engines.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optional M07 M13 M17 M18</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Microsoft posture scores and recommendation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Mirror supported Microsoft scores and controls with portal parity scope history and transparent component breakdowns.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M15 consumes score facts; no cost engine requirement</w:t>
            </w:r>
          </w:p>
        </w:tc>
      </w:tr>
      <w:tr>
        <w:trPr>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 ITSM incident and service request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Technical incidents, requests, work board, lifecycle, SLA/OLA and fulfilment.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optional M03 M09 M13 M14 M16</w:t>
            </w:r>
          </w:p>
        </w:tc>
      </w:tr>
      <w:tr>
        <w:trPr>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M22 Mailbox to ticket connector engine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Scoped mailbox rules, deduplicated intake, threading and ticket commands.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M02 M21; M03 for attachments</w:t>
            </w:r>
          </w:p>
        </w:tc>
      </w:tr>
      <w:tr>
        <w:trPr>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M23 Requester portal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Entra login, self-service submission, own tickets, public replies and approvals.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 M21; optional M03 M16</w:t>
            </w:r>
          </w:p>
        </w:tc>
      </w:tr>
      <w:tr>
        <w:tc>
          <w:tcPr>
            <w:tcW w:type="dxa" w:w="3456"/>
          </w:tcPr>
          <w:p>
            <w:r>
              <w:t>M24</w:t>
            </w:r>
          </w:p>
        </w:tc>
        <w:tc>
          <w:tcPr>
            <w:tcW w:type="dxa" w:w="3456"/>
          </w:tcPr>
          <w:p>
            <w:r>
              <w:t>Desired State and Configuration Drift engine</w:t>
            </w:r>
          </w:p>
        </w:tc>
        <w:tc>
          <w:tcPr>
            <w:tcW w:type="dxa" w:w="3456"/>
          </w:tcPr>
          <w:p>
            <w:r>
              <w:t>Track approved Azure and Microsoft 365 configuration; report or revert drift with mandatory ITSM evidence. Phase 1 after its required dependencies. Phase 1 also includes M25 incident and request templates; Phase 1 retains M24 desired state monitoring.</w:t>
            </w:r>
          </w:p>
        </w:tc>
      </w:tr>
      <w:tr>
        <w:tc>
          <w:tcPr>
            <w:tcW w:type="dxa" w:w="3456"/>
          </w:tcPr>
          <w:p>
            <w:r>
              <w:t>M25</w:t>
            </w:r>
          </w:p>
        </w:tc>
        <w:tc>
          <w:tcPr>
            <w:tcW w:type="dxa" w:w="3456"/>
          </w:tcPr>
          <w:p>
            <w:r>
              <w:t>Incident and Request Template engine</w:t>
            </w:r>
          </w:p>
        </w:tc>
        <w:tc>
          <w:tcPr>
            <w:tcW w:type="dxa" w:w="3456"/>
          </w:tcPr>
          <w:p>
            <w:r>
              <w:t>Phase 1 searchable guided forms for M21 ITSM and M04 security incidents; M23 requester reporting. Dependencies M01 M02 M03 M04 M21 M23 as applicable.</w:t>
            </w:r>
          </w:p>
        </w:tc>
      </w:tr>
    </w:tbl>
    <w:p>
      <w:pPr>
        <w:keepNext w:val="0"/>
        <w:keepLines w:val="0"/>
        <w:pageBreakBefore w:val="0"/>
        <w:spacing w:before="0" w:after="0" w:line="20" w:lineRule="exact"/>
      </w:pPr>
    </w:p>
    <w:p>
      <w:bookmarkStart w:id="12" w:name="orca_ch_012"/>
      <w:pPr>
        <w:pStyle w:val="Heading1"/>
        <w:keepNext/>
        <w:pageBreakBefore/>
      </w:pPr>
      <w:r>
        <w:rPr>
          <w:color w:val="000000"/>
        </w:rPr>
        <w:t>Common API assessment and Sentinel reuse</w:t>
      </w:r>
      <w:bookmarkEnd w:id="12"/>
    </w:p>
    <w:p>
      <w:r>
        <w:t>There is a useful common API path but no universal API for every incident inventory control and remediation operation. Microsoft recommends Graph for unified incidents and alerts when Sentinel is onboarded to the Defender portal [S26]. The portal should standardise one internal provider contract while source engines select the appropriate supported Microsoft interface. This does not turn the whole application into an API product.</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Scenario</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Preferred research direction</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coverage check</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Sentinel and Defender incidents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Graph security incidents and alerts after customer onboarding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Prove actual incident classes workspaces fields updates and cloud edition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Sentinel aggregated third party feeds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Consume existing Sentinel incidents and supporting context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Telemetry must have analytics or incident production; raw data ingestion alone is not an incident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Sentinel workspace functions and exceptions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SecurityInsights and relevant workspace APIs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Manually or API created incidents may not appear in unified Defender path</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Defender only customer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Graph incident feed with optional native enrichment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Sentinel engine is not a prerequisite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Devices cloud assets and compliance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Existing source inventories and read only inventory APIs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entities alone are partial inventory</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Endpoint containment identity remediation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Provider specific action interface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Separate authority consent action status and verification</w:t>
            </w:r>
          </w:p>
        </w:tc>
      </w:tr>
    </w:tbl>
    <w:p>
      <w:pPr>
        <w:keepNext w:val="0"/>
        <w:keepLines w:val="0"/>
        <w:pageBreakBefore w:val="0"/>
        <w:spacing w:before="0" w:after="0" w:line="20" w:lineRule="exact"/>
      </w:pPr>
    </w:p>
    <w:p>
      <w:r>
        <w:t>Required feed coverage register: tenant source product workspace incident class authoritative read route outbound route native sync group coverage status last verified date evidence and known exclusions. Select one authoritative incident ingress route per source scope; add a second route only to fill a measured gap. Retain original provider identifiers to reconcile native merges. When the source engines share an API they can reuse code without sharing a release lifecycle.</w:t>
      </w:r>
    </w:p>
    <w:p>
      <w:r>
        <w:t>Current Microsoft guidance identifies exceptions including manually or programmatically created Sentinel incidents and multi workspace behaviour [S26]. These must be tested rather than hidden by an assumption that all portal data appears in Graph. Native Sentinel and Defender incident synchronisation can be reused; AI SOC must still reconcile its own canonical record and supported outbound updates [S27].</w:t>
      </w:r>
    </w:p>
    <w:p>
      <w:bookmarkStart w:id="13" w:name="orca_ch_013"/>
      <w:pPr>
        <w:pStyle w:val="Heading1"/>
        <w:keepNext/>
        <w:pageBreakBefore/>
      </w:pPr>
      <w:r>
        <w:rPr>
          <w:color w:val="000000"/>
        </w:rPr>
        <w:t>Independent release and dependency rules</w:t>
      </w:r>
      <w:bookmarkEnd w:id="13"/>
    </w:p>
    <w:p>
      <w:r>
        <w:t>Independent release means independent engine acceptance and per-tenant enablement with compatible contracts migrations health and recovery. The portal is one Blazor Server project deployed as a versioned host; code can ship disabled. Engine rollback means enablement or compatible data recovery and a host deployment, not hot swapping assemblies. Reader and Executor instances share code but not execution identities.</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Delivery priority</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Releasable capability</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Scope boundary</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Foundation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Platform and M02 UAM</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isolation permissions audit and source credentials.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Priority 1A</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Cost M20 Scores M15 Dashboards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Optimisation scores and executive and technical dashboards first.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Priority 1B</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Entra and M365 M19 DevOps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Licence inactivity entitlement governance and efficiency findings.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Priority 2</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 Incidents M05 Sentinel M06 Defender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After Priority 1 acceptance; release one source at a time.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Priority 2 context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M07 Assets M08 ATTACK M09 Routing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context controls shifts and routing; inventory can start earlier.</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Later operations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 Change M14 Problem M12 Response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Separate releases with required approvals and safeguards.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Later knowledge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 Files M11 Budgets M10 AI M16 Extensions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 full scope; expand M15 reporting as engines arrive.</w:t>
            </w:r>
          </w:p>
        </w:tc>
      </w:tr>
    </w:tbl>
    <w:p>
      <w:pPr>
        <w:keepNext w:val="0"/>
        <w:keepLines w:val="0"/>
        <w:pageBreakBefore w:val="0"/>
        <w:spacing w:before="0" w:after="0" w:line="20" w:lineRule="exact"/>
      </w:pPr>
    </w:p>
    <w:p>
      <w:r>
        <w:t>Priority 1 precedes incident management. Engines within a priority may release independently once their dependencies and acceptance criteria pass. Read only cost score licence and governance collection must not depend on M04 M05 or M06. A source incident engine still requires M04 canonical handling. Unsupported fields remain explicit gaps in the programme backlog.</w:t>
      </w:r>
    </w:p>
    <w:p>
      <w:r>
        <w:t>Disablement policy must distinguish pause new work drain queued work cancel unstarted actions and complete safe in flight verification. Missing optional dependencies disable the feature with explanation; missing mandatory dependencies prevent activation. If response policy requires a change approval and M13 is absent, that response is blocked. Version compatibility is checked before enablement. Upgrades preserve historical records and do not execute restored stale commands.</w:t>
      </w:r>
    </w:p>
    <w:p>
      <w:bookmarkStart w:id="14" w:name="orca_ch_014"/>
      <w:pPr>
        <w:pStyle w:val="Heading1"/>
        <w:keepNext/>
        <w:pageBreakBefore/>
      </w:pPr>
      <w:r>
        <w:rPr>
          <w:color w:val="000000"/>
        </w:rPr>
        <w:t>Permission matrix requirements</w:t>
      </w:r>
      <w:bookmarkEnd w:id="14"/>
    </w:p>
    <w:p>
      <w:r>
        <w:t>Permission Manager reused and adapted from Audit AI is the single M02 policy authority. There is no external UAM product or invented UAM REST decision service to procure. Roles set the ceiling; the versioned local matrix narrows it by tenant team resource sensitivity action and condition. All held roles apply across authorised member tenants by default under SOC-D013. A tenant override is absent to inherit, an explicit set to narrow, or an explicit empty set to remove every role. It cannot add an unheld role. This supersedes the study qualification that privileged roles require separate tenant assignment. For each effective role, combine its allows and remove its role-scoped denies. Union the remaining role contributions. A subject-scoped deny overrides the whole union. Context membership resource scope and separation of duties still constrain the result; unconfigured permission denies. Platform.SuperAdmin permits platform administration only and has no tenant content bypass. A time bounded support session grants only its named scope and cannot defeat subject denies or independent approval rules.</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Matrix dimension</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behaviour</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Rows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Roles and approved group or subject bindings; immutable identity IDs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Columns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Module resource and action such as Read Create Edit Assign Approve Execute Export Delete Configure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Cells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Allow Deny Inherit; role denial removes that role contribution, subject denial overrides the union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Draft compare simulate review publish effective date audit and rollback</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Decision</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Valid operator identity active member scope role ceiling and matrix; role denies per contribution subject deny over union.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Separation of duty</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self approval of entitlement escalation destructive response or sensitive change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Central UAM</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Single authority: adapted Permission Manager, versioned policy and internal decision port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Enforcement</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Server side handlers workers chat tools file downloads exports and external controllers</w:t>
            </w:r>
          </w:p>
        </w:tc>
      </w:tr>
    </w:tbl>
    <w:p>
      <w:pPr>
        <w:keepNext w:val="0"/>
        <w:keepLines w:val="0"/>
        <w:pageBreakBefore w:val="0"/>
        <w:spacing w:before="0" w:after="0" w:line="20" w:lineRule="exact"/>
      </w:pPr>
    </w:p>
    <w:tbl>
      <w:tblPr>
        <w:tblStyle w:val="LightShading-Accent1"/>
        <w:tblW w:type="auto" w:w="0"/>
        <w:tblLayout w:type="fixed"/>
        <w:tblLook w:firstColumn="1" w:firstRow="1" w:lastColumn="0" w:lastRow="0" w:noHBand="0" w:noVBand="1" w:val="04A0"/>
      </w:tblPr>
      <w:tblGrid>
        <w:gridCol w:w="1728"/>
        <w:gridCol w:w="1728"/>
        <w:gridCol w:w="1728"/>
        <w:gridCol w:w="1728"/>
        <w:gridCol w:w="1728"/>
        <w:gridCol w:w="1728"/>
      </w:tblGrid>
      <w:tr>
        <w:trPr>
          <w:tblHeader/>
          <w:cantSplit/>
          <w:tblHeader/>
          <w:cantSplit/>
        </w:trPr>
        <w:tc>
          <w:tcPr>
            <w:tcW w:type="dxa" w:w="172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Illustrative role</w:t>
            </w:r>
          </w:p>
        </w:tc>
        <w:tc>
          <w:tcPr>
            <w:tcW w:type="dxa" w:w="172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Incident read</w:t>
            </w:r>
          </w:p>
        </w:tc>
        <w:tc>
          <w:tcPr>
            <w:tcW w:type="dxa" w:w="172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Incident triage</w:t>
            </w:r>
          </w:p>
        </w:tc>
        <w:tc>
          <w:tcPr>
            <w:tcW w:type="dxa" w:w="172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Response propose</w:t>
            </w:r>
          </w:p>
        </w:tc>
        <w:tc>
          <w:tcPr>
            <w:tcW w:type="dxa" w:w="172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Response approve</w:t>
            </w:r>
          </w:p>
        </w:tc>
        <w:tc>
          <w:tcPr>
            <w:tcW w:type="dxa" w:w="172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UAM publish</w:t>
            </w:r>
          </w:p>
        </w:tc>
      </w:tr>
      <w:tr>
        <w:trPr>
          <w:cantSplit/>
          <w:cantSplit/>
        </w:trPr>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L1 Analyst</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Assigned scope</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Assigned scope</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 by default</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w:t>
            </w:r>
          </w:p>
        </w:tc>
      </w:tr>
      <w:tr>
        <w:trPr>
          <w:cantSplit/>
          <w:cantSplit/>
        </w:trPr>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L2 Analyst</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Assigned scope</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Allow</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Scoped allow</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 by default</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w:t>
            </w:r>
          </w:p>
        </w:tc>
      </w:tr>
      <w:tr>
        <w:trPr>
          <w:cantSplit/>
          <w:cantSplit/>
        </w:trPr>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IR Engineer</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Assigned scope</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Scoped allow</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Allow</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 own request</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w:t>
            </w:r>
          </w:p>
        </w:tc>
      </w:tr>
      <w:tr>
        <w:trPr>
          <w:cantSplit/>
          <w:cantSplit/>
        </w:trPr>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IR Lead</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Team scope</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Allow</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Allow</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Independent scoped allow</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w:t>
            </w:r>
          </w:p>
        </w:tc>
      </w:tr>
      <w:tr>
        <w:trPr>
          <w:cantSplit/>
          <w:cantSplit/>
        </w:trPr>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UAM Administrator</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implied content</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Independent approval needed</w:t>
            </w:r>
          </w:p>
        </w:tc>
      </w:tr>
      <w:tr>
        <w:trPr>
          <w:cantSplit/>
          <w:cantSplit/>
        </w:trPr>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 Reader</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 visible scope</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w:t>
            </w:r>
          </w:p>
        </w:tc>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Deny</w:t>
            </w:r>
          </w:p>
        </w:tc>
      </w:tr>
    </w:tbl>
    <w:p>
      <w:pPr>
        <w:keepNext w:val="0"/>
        <w:keepLines w:val="0"/>
        <w:pageBreakBefore w:val="0"/>
        <w:spacing w:before="0" w:after="0" w:line="20" w:lineRule="exact"/>
      </w:pP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Additional role template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Purpose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Default separation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Assets.Manager</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Maintain asset ownership criticality reviewed merges and lifecycle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implied response execute permission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Change.Requester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Prepare and submit scoped changes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approve own change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Change.Manager</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 schedule and coordinate change review</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Execution grant remains separate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Change.Approver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 within risk and service scope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approve own request or changed plan version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Problem.Analyst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Investigate causes record evidence and propose workarounds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certify own unreviewed root cause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Problem.Manager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known errors resolution and recurrence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implied change approval or platform admin</w:t>
            </w:r>
          </w:p>
        </w:tc>
      </w:tr>
    </w:tbl>
    <w:p>
      <w:pPr>
        <w:keepNext w:val="0"/>
        <w:keepLines w:val="0"/>
        <w:pageBreakBefore w:val="0"/>
        <w:spacing w:before="0" w:after="0" w:line="20" w:lineRule="exact"/>
      </w:pPr>
    </w:p>
    <w:p>
      <w:r>
        <w:t>The illustrative matrix is a proposal to approve during UAM development. Final grants are editable versioned policy. New module permissions are registered and denied by default until reviewed. AI budget administration file evidence export change approval problem publication and asset editing each require distinct actions. UAM matrix changes never grant Microsoft source consent or Azure administrator roles automatically.</w:t>
      </w:r>
    </w:p>
    <w:p>
      <w:bookmarkStart w:id="15" w:name="orca_ch_015"/>
      <w:pPr>
        <w:pStyle w:val="Heading1"/>
        <w:keepNext/>
        <w:pageBreakBefore/>
      </w:pPr>
      <w:r>
        <w:rPr>
          <w:color w:val="000000"/>
        </w:rPr>
        <w:t>Modular architecture</w:t>
      </w:r>
      <w:bookmarkEnd w:id="15"/>
    </w:p>
    <w:p>
      <w:r>
        <w:drawing>
          <wp:inline xmlns:a="http://schemas.openxmlformats.org/drawingml/2006/main" xmlns:pic="http://schemas.openxmlformats.org/drawingml/2006/picture">
            <wp:extent cx="6400800" cy="3840480"/>
            <wp:docPr id="2" name="Picture 1"/>
            <wp:cNvGraphicFramePr>
              <a:graphicFrameLocks noChangeAspect="1"/>
            </wp:cNvGraphicFramePr>
            <a:graphic>
              <a:graphicData uri="http://schemas.openxmlformats.org/drawingml/2006/picture">
                <pic:pic>
                  <pic:nvPicPr>
                    <pic:cNvPr id="0" name="modules.png"/>
                    <pic:cNvPicPr/>
                  </pic:nvPicPr>
                  <pic:blipFill>
                    <a:blip r:embed="rId10"/>
                    <a:stretch>
                      <a:fillRect/>
                    </a:stretch>
                  </pic:blipFill>
                  <pic:spPr>
                    <a:xfrm>
                      <a:off x="0" y="0"/>
                      <a:ext cx="6400800" cy="3840480"/>
                    </a:xfrm>
                    <a:prstGeom prst="rect"/>
                  </pic:spPr>
                </pic:pic>
              </a:graphicData>
            </a:graphic>
          </wp:inline>
        </w:drawing>
      </w:r>
    </w:p>
    <w:p>
      <w:r>
        <w:t>The diagram shows logical module and hybrid trust boundaries. The Blazor Server portal runs on Azure App Service, MongoDB Atlas is the default with separate tenant databases, and Qdrant runs on an Azure VM. Worker packaging private network paths and customer hosted components are selected within this confirmed deployment. Internal engines do not require public APIs.</w:t>
      </w:r>
    </w:p>
    <w:p>
      <w:bookmarkStart w:id="16" w:name="orca_ch_016"/>
      <w:pPr>
        <w:pStyle w:val="Heading1"/>
        <w:keepNext/>
        <w:pageBreakBefore/>
      </w:pPr>
      <w:r>
        <w:rPr>
          <w:color w:val="000000"/>
        </w:rPr>
        <w:t>Cross engine contracts and data ownership</w:t>
      </w:r>
      <w:bookmarkEnd w:id="16"/>
    </w:p>
    <w:p>
      <w:r>
        <w:t>These semantic contracts are required; exact C# types transport paths and schema syntax are suggestions to validate during implementation. Internal Blazor calls do not require HTTP. Expose API controllers only for authorised external ingestion relay callbacks integrations and necessary streaming transfer.</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Contract</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information and behaviour</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ModuleDescriptor</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Module ID version compatible contracts required and optional dependencies capabilities health migration and disable policy</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PermissionDecision</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Subject role tenant action resource scope allow or deny policy version reason obligations expiry and audit decision ID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IncidentEnvelope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connector source kind source ID source version event ID observation time provenance payload or evidence reference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AssetObservation</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source immutable identity observed attributes source timestamp collection time confidence and deletion or absence semantics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WorkReference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module record ID record version work type priority required skills team and due policy</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ApprovalReference</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subject version action target parameters policy requester approver decision expiry and evidence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FileReference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file immutable version hash sensitivity ACL and purpose; linking never expands access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AiUsageReceipt</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user primary charge group provider model feature reservation request ID usage and settlement state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DomainEvent</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Event ID tenant aggregate ID revision schema version occurred time correlation causation payload classification</w:t>
            </w:r>
          </w:p>
        </w:tc>
      </w:tr>
    </w:tbl>
    <w:p>
      <w:pPr>
        <w:keepNext w:val="0"/>
        <w:keepLines w:val="0"/>
        <w:pageBreakBefore w:val="0"/>
        <w:spacing w:before="0" w:after="0" w:line="20" w:lineRule="exact"/>
      </w:pPr>
    </w:p>
    <w:p>
      <w:r>
        <w:t>Suggested external interaction examples for new modules: an asset search can accept type owner service risk staleAfter and cursor; a change submission can carry recordVersion risk affectedAssetIds implementationPlan validationPlan rollbackPlan and requestedWindow; a problem review can carry problemVersion rootCauseEvidence knownErrorVisibility and linkedCorrectiveActions. These commands are internal by default. External endpoint paths and JSON schemas are selected only when an integration needs them.</w:t>
      </w:r>
    </w:p>
    <w:p>
      <w:r>
        <w:t>Keep an operator-held database per tenant for audit immutable approvals commands internal notes AI usage and traces jobs notification receipts and other execution authority. The customer administrator is outside that trust boundary. The control database contains sensitive registry identity matrix and source-route metadata with encryption and narrowly scoped access; it is not a public or nonsensitive-only database. Store secrets in Key Vault and registry references only. Customer-stored facts and engine decisions are advisory inputs, never executable authorisation. Collection and mutation ownership remains per engine. Resolve StoreKind and database per operation. Cross-engine calls use internal ports; cross-cluster writes use Intent and Outcome, not an assumed transaction.</w:t>
      </w:r>
    </w:p>
    <w:p>
      <w:r>
        <w:t>Common outcome requirements: idempotent writes and replay safe processing; optimistic conflict detection; auditable transitions; durable acceptance before acknowledgement; source freshness; explicit unsupported capability results; sensitivity aware errors; no plaintext secrets; and a last known good state when reference feeds fail. Suggested REST error and JSON structures remain in the incident reference design. Final OpenAPI is generated only for chosen external contracts after research.</w:t>
      </w:r>
    </w:p>
    <w:p>
      <w:bookmarkStart w:id="17" w:name="orca_ch_017"/>
      <w:pPr>
        <w:pStyle w:val="Heading1"/>
        <w:keepNext/>
        <w:pageBreakBefore/>
      </w:pPr>
      <w:r>
        <w:rPr>
          <w:color w:val="000000"/>
        </w:rPr>
        <w:t>M01 Platform and tenant engine</w:t>
      </w:r>
      <w:bookmarkEnd w:id="17"/>
    </w:p>
    <w:p>
      <w:r>
        <w:t>Provide the shared Blazor Server shell, isolated tenants, module lifecycle and operational safeguards.</w:t>
      </w:r>
    </w:p>
    <w:p>
      <w:r>
        <w:t>Dependencies: None</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lifecycle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Register customer-provided operational/content Atlas databases and operator-held per-tenant records; validate connections markers grants and source ownership. Separate tenant databases are mandatory; the SOC does not provision customer clusters.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Module catalogue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Record module version capabilities dependencies state and per tenant enablement. Distinguish installed enabled healthy degraded and disabled.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shell</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.NET Blazor Server and Radzen UI components; provide tenant context navigation notifications and consistent accessibility.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Security foundation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Resolve tenant server side; protect secrets; validate workloads; centralise append only audit and scoped file and data access.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Release operations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Accept and enable each engine separately; deploy a versioned host with compatible migrations and forward recovery. No hot swapping or compulsory microservice split.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Resilience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durable work tracking retries health telemetry backup restore and safeguards against replaying stale response commands.</w:t>
            </w:r>
          </w:p>
        </w:tc>
      </w:tr>
    </w:tbl>
    <w:p>
      <w:pPr>
        <w:keepNext w:val="0"/>
        <w:keepLines w:val="0"/>
        <w:pageBreakBefore w:val="0"/>
        <w:spacing w:before="0" w:after="0" w:line="20" w:lineRule="exact"/>
      </w:pPr>
    </w:p>
    <w:p>
      <w:pPr>
        <w:pStyle w:val="Heading2"/>
        <w:keepNext/>
      </w:pPr>
      <w:r>
        <w:rPr>
          <w:color w:val="000000"/>
        </w:rPr>
        <w:t>Required workflow</w:t>
      </w:r>
    </w:p>
    <w:p>
      <w:r>
        <w:t>Register tenant -&gt; bind identity -&gt; provision isolation -&gt; enable authorised module -&gt; validate health -&gt; operate -&gt; suspend or upgrade.</w:t>
      </w:r>
    </w:p>
    <w:p>
      <w:pPr>
        <w:pStyle w:val="Heading2"/>
        <w:keepNext/>
      </w:pPr>
      <w:r>
        <w:rPr>
          <w:color w:val="000000"/>
        </w:rPr>
        <w:t>Acceptance criteria</w:t>
      </w:r>
    </w:p>
    <w:p>
      <w:pPr>
        <w:pStyle w:val="ListBullet"/>
      </w:pPr>
      <w:r>
        <w:t>M01 AC1 One tenant cannot read another tenant through UI services workers exports or search.</w:t>
      </w:r>
    </w:p>
    <w:p>
      <w:pPr>
        <w:pStyle w:val="ListBullet"/>
      </w:pPr>
      <w:r>
        <w:t>M01 AC2 File Store can be enabled while AI Assets Sentinel and Defender remain disabled.</w:t>
      </w:r>
    </w:p>
    <w:p>
      <w:pPr>
        <w:pStyle w:val="ListBullet"/>
      </w:pPr>
      <w:r>
        <w:t>M01 AC3 Module disablement blocks new work and handles in flight operations under its declared drain or cancel policy.</w:t>
      </w:r>
    </w:p>
    <w:p>
      <w:pPr>
        <w:pStyle w:val="ListBullet"/>
      </w:pPr>
      <w:r>
        <w:t>M01 AC4 A Blazor reconnect cannot resubmit privileged actions or retain the wrong tenant context.</w:t>
      </w:r>
    </w:p>
    <w:p>
      <w:pPr>
        <w:pStyle w:val="Heading2"/>
        <w:keepNext/>
      </w:pPr>
      <w:r>
        <w:rPr>
          <w:color w:val="000000"/>
        </w:rPr>
        <w:t>Suggested data responsibilities</w:t>
      </w:r>
    </w:p>
    <w:p>
      <w:r>
        <w:t>TenantRegistry ModuleManifest ModuleState TenantModuleConfiguration AuditEvent Operation and MigrationLedger.</w:t>
      </w:r>
    </w:p>
    <w:p>
      <w:pPr>
        <w:pStyle w:val="Heading2"/>
        <w:keepNext/>
      </w:pPr>
      <w:r>
        <w:rPr>
          <w:color w:val="000000"/>
        </w:rPr>
        <w:t>Suggested implementation direction</w:t>
      </w:r>
    </w:p>
    <w:p>
      <w:r>
        <w:t>Use one Blazor Server application project with engine folders and internal ports; source and compiled dependency checks enforce ownership. Modularity means independent acceptance and tenant enablement within versioned host deployments. It does not promise hot loading or separate deployment per engine. The document engine and optional customer runner are separate solutions or versioned packages. The same application binary may run in Reader and Executor modes with different identities and available services.</w:t>
      </w:r>
    </w:p>
    <w:p>
      <w:pPr>
        <w:pStyle w:val="Heading2"/>
        <w:keepNext/>
      </w:pPr>
      <w:r>
        <w:rPr>
          <w:color w:val="000000"/>
        </w:rPr>
        <w:t>Research before development</w:t>
      </w:r>
    </w:p>
    <w:p>
      <w:r>
        <w:t>Confirm supported .NET LTS Radzen version Azure plan recovery targets tenant count event peaks residency and module release mechanism.</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Separate development test preproduction and production configuration registrations groups identities and data. Read and Respond connector applications are separate per environment. Nonproduction connector applications are never consented in real customer tenants. Use private data endpoints restricted egress and a dedicated deployment identity. Optional signed customer runners exist only for customer-required credential or network custody.</w:t>
      </w:r>
    </w:p>
    <w:p>
      <w:r>
        <w:t>Onboard: validate customer ownership and public-cloud source directory; register immutable tenant code and group IDs; validate customer Atlas operational and content database connection references exact grants TLS allowlists markers and cluster identity; prepare operator-held tenant store Blob container and Qdrant prefix; configure operator-directory guest access and UAM; consent and probe Read capabilities; test transactions checkpoints and recovery. Respond or optional runner is a later separately authorised capability. Steps are resumable and audited.</w:t>
      </w:r>
    </w:p>
    <w:p>
      <w:r>
        <w:t>Offboarding sequence: suspend actions and inference; stop schedules; revoke source consent and relay credentials; export approved incident and evidence package; honour legal holds; expire retention policy; delete vectors and replicas and document backup expiry; remove registry mapping after audit retention. A tenant suspension denies both UI and queued commands. Migration upgrades each tenant database with schemaVersion and resumable migration ledger; use expand then migrate then contract with a previous version compatibility window.</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Control area</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Implementation requirement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Verification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isolation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Server resolved database collection blob and source scope; distinct credentials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Cross tenant IDOR vector search exports batch endpoints and worker tests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Entra OIDC groups app roles token validation MFA and session security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Wrong audience issuer expired token missing role nested membership tests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Authorisation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UAM intersection explicit denies live checks for privileged work</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Revocation outage field masking queued execution tests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Network</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Private data endpoints restricted egress customer outbound relay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public MongoDB Qdrant or local inference listener</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Secrets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Managed identities where possible Key Vault rotation scoped source credentials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secret values in diagnostics documents or AI prompts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Evidence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Malware scan content hash custody legal hold immutable retention where configured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Tamper missing hash unauthorised download and hold deletion tests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API</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Schema validation quotas CSRF for cookies safe CORS output encoding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SSRF injection replay mass assignment upload tests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AI</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Untrusted content isolation authorised tools redaction ACL retrieval</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Prompt injection exfiltration and capability bypass tests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Audit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Append only actor decision source IDs before after hashes external immutable sink</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Audit cannot be changed by application administrators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Supply chain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Signed builds dependency scanning SBOM secret scanning isolated CI</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Provenance verification and rollback exercise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Privacy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Purpose minimisation retention sensitivity customer export policies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Deletion propagation legal hold and cloud fallback tests</w:t>
            </w:r>
          </w:p>
        </w:tc>
      </w:tr>
    </w:tbl>
    <w:p>
      <w:pPr>
        <w:keepNext w:val="0"/>
        <w:keepLines w:val="0"/>
        <w:pageBreakBefore w:val="0"/>
        <w:spacing w:before="0" w:after="0" w:line="20" w:lineRule="exact"/>
      </w:pPr>
    </w:p>
    <w:p>
      <w:r>
        <w:t>Audit records contain actor tid oid or workload identity tenant action resource request correlation UAM decision role policy version approval refs timestamps result and hashed change details. Export tenant audit to immutable storage with separation of duties. Hash chaining detects alterations only when anchored to an independently protected checkpoint; it is not sufficient on its own. Exclude secrets and unnecessary raw personal data from logs. Record privileged support access with purpose expiry and customer scope.</w:t>
      </w:r>
    </w:p>
    <w:p>
      <w:r>
        <w:t>Threat model includes malicious tenant users compromised customer runners forged events source comment prompt injection leaked API consent cross tenant cache keys vector ACL bypass command replay insider self approval and poisoned backups. Require code review and explicit abuse tests for each trust boundary. Service identity permissions do not substitute for a human authorisation decision when executing a user initiated operation.</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Proposed objectives for sizing validation: 100 tenants, 1 million ingested events daily aggregate, 10 times burst for 15 minutes, 500 concurrent users, 99.9 percent monthly central API availability, p95 cached incident reads under 2 seconds, ingestion durable acceptance under 2 seconds and source to canonical lag under 2 minutes when source APIs are healthy. These are engineering assumptions awaiting V5-D03; Microsoft latency throttling and customer offline periods are measured separately. Include browser list interaction latency as a separate design target and measure Atlas users pools namespaces and per-tenant engine container overhead.</w:t>
      </w:r>
    </w:p>
    <w:p>
      <w:r>
        <w:t>Partition work by tenant and source link; apply per tenant concurrency budgets to prevent noisy neighbours. Queues buffer customer outages. Store durable customer checkpoints and spool with an explicit storage cap; alert before exhaustion. Autoscaling uses oldest message age and backlog as well as CPU. A tenant flood cannot consume all AI token or API budgets. Central read operations do not synchronously depend on customer connectivity; display staleness clearly.</w:t>
      </w:r>
    </w:p>
    <w:p>
      <w:r>
        <w:t>Metrics: ingestion lag duplicate rate reconciliation drift conflict count per field DLQ age API throttle rates source auth health unassigned time primary backup coverage approval age action unknown outcomes retrieval denial inference cost UAM latency and audit export lag. Propagate traceparent through Function envelope queue API and source request receipts. Alerts reference runbooks and tenant IDs with no sensitive payload. Synthetic checks exercise token UAM ingestion read and non destructive sync.</w:t>
      </w:r>
    </w:p>
    <w:p>
      <w:r>
        <w:t>Operator-held recovery targets are RTO 4 hours and RPO 15 minutes, to be demonstrated before production. They do not cover customer-held databases or rebuild time of customer-derived vectors. Record customer backup and recovery responsibilities at onboarding. Restore customer data through quarantine and reconciliation; never assume an Atlas cluster snapshot restores one database directly. Restore a temporary cluster when needed, then perform a tested logical export and restore of approved namespaces. A downloaded raw snapshot is not a mongorestore archive.</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Confirmed stack: .NET Blazor Server with Radzen components. Use the Blazor Web App interactive server model on the selected supported .NET LTS version, with C# Razor components and server side application services. Do not substitute WebAssembly for the primary application. The optional customer runner is separately packaged. Reader hosts background jobs in the same application project; a separate Executor mode holds response authority. Pin runtime SDK package and container versions after compatibility validation; no floating production package references.</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Layer</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Concrete design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Host</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Web folders in one Blazor Server application project; OIDC cookie identity protected routes and components. Reader and Executor process modes restrict identities.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UI</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RadzenLayout RadzenSidebar RadzenHeader RadzenDataGrid RadzenTabs Radzen dialog service RadzenTemplateForm Radzen notification service and RadzenUpload where supported by pinned version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Application</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Application folders contain commands queries validators DTO mapping and ports in the single Blazor project.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Domain</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AiSoc.Domain incident transitions sync merge action approvals routing policies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Infrastructure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Infrastructure folders for tenant-resolved persistence transport vectors source adapters and filesystem ports; not required separate projects.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Workers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Reader hosts registered Hangfire jobs; Executor runs authorised dispatch sweep without a Hangfire server under the pending F5 topology.</w:t>
            </w:r>
          </w:p>
        </w:tc>
      </w:tr>
    </w:tbl>
    <w:p>
      <w:pPr>
        <w:keepNext w:val="0"/>
        <w:keepLines w:val="0"/>
        <w:pageBreakBefore w:val="0"/>
        <w:spacing w:before="0" w:after="0" w:line="20" w:lineRule="exact"/>
      </w:pPr>
    </w:p>
    <w:p>
      <w:r>
        <w:t>Blazor scoped services are circuit scoped and may live across many UI events. Never retain a mutable global tenant context or database session shared across circuits. Resolve authorised tenant scope for each command and query, and recheck on tenant switch. Cancel old tenant queries clear grids selection and buffered results and refresh authorisation before rendering new data. Do not keep a MongoDB transaction open for a circuit. Components call application handlers with the same UAM checks as API clients; hiding a button through AuthorizeView is not an access control boundary [S17].</w:t>
      </w:r>
    </w:p>
    <w:p>
      <w:r>
        <w:t>Use cookie and OIDC server authentication with protected server token storage. Revalidate circuit authentication and UAM entitlement freshness. A disconnected or reconnected circuit must re-fetch incident revision and permissions before mutations. Store unsaved drafts with tenant user incident and sensitivity scope using an approved encrypted server store when persistence is required. Display reconnect state and pending command receipts; never automatically resubmit a response action because a component re-rendered. Use idempotency keys across reconnect and navigation.</w:t>
      </w:r>
    </w:p>
    <w:p>
      <w:r>
        <w:t>Scale with sticky sessions as required by the chosen SignalR hosting topology and explicitly validate Azure SignalR Service configuration. Distributed Data Protection keys protect cookies across replicas. Benchmark concurrent circuits retained disconnected circuits per circuit memory and reconnect storms. Long AI runs sync jobs file scanning exports and response tasks run outside circuits with operation IDs. File bytes use streaming HTTP upload endpoints or tightly scoped object upload sessions rather than large SignalR messages [S18].</w:t>
      </w:r>
    </w:p>
    <w:p>
      <w:r>
        <w:t>Licence policy: third-party UI component code remains MIT under the direct requirement; unmodified Apache-2.0 icon and OFL-1.1 font assets are accepted under SOC-D018 with notices and per-asset SBOM records. Non-UI dependencies follow the commercial-use policy in SOC-D044, including unmodified LGPL package references with obligations checked. Unknown or prohibited application dependencies fail admission. MongoDB Atlas hosted service and Qdrant infrastructure remain allowed. This is not a claim that all SDKs fonts or service software are MIT.</w:t>
      </w:r>
    </w:p>
    <w:p>
      <w:pPr>
        <w:pStyle w:val="Heading2"/>
        <w:keepNext/>
      </w:pPr>
      <w:r>
        <w:rPr>
          <w:color w:val="000000"/>
        </w:rPr>
        <w:t>UI component admission test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3312"/>
        <w:gridCol w:w="5472"/>
      </w:tblGrid>
      <w:tr>
        <w:trPr>
          <w:cantSplit/>
          <w:tblHeader/>
          <w:tblHeader/>
          <w:cantSplit/>
        </w:trPr>
        <w:tc>
          <w:tcPr>
            <w:tcW w:type="dxa" w:w="1008"/>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Test</w:t>
            </w:r>
          </w:p>
        </w:tc>
        <w:tc>
          <w:tcPr>
            <w:tcW w:type="dxa" w:w="3312"/>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Scenario</w:t>
            </w:r>
          </w:p>
        </w:tc>
        <w:tc>
          <w:tcPr>
            <w:tcW w:type="dxa" w:w="5472"/>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Acceptance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T38</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Non-MIT UI code unknown dependency or unmodified declared Apache/OFL asset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Code admission and asset exceptions checked separately with exact version notices and SBOM.</w:t>
            </w:r>
          </w:p>
        </w:tc>
      </w:tr>
    </w:tbl>
    <w:p>
      <w:pPr>
        <w:keepNext w:val="0"/>
        <w:keepLines w:val="0"/>
        <w:pageBreakBefore w:val="0"/>
        <w:spacing w:before="0" w:after="0" w:line="20" w:lineRule="exact"/>
      </w:pPr>
    </w:p>
    <w:p>
      <w:pPr>
        <w:pStyle w:val="Heading2"/>
        <w:keepNext/>
      </w:pPr>
      <w:r>
        <w:rPr>
          <w:color w:val="000000"/>
        </w:rPr>
        <w:t>M01 Foundation trust and deployment</w:t>
      </w:r>
    </w:p>
    <w:p>
      <w:r>
        <w:t>M01 V5 1 Validate the single operator issuer environment membership states immutable tenant code two customer database references and one operator-held database per tenant. Probe production transactions and refuse fallback. Enforce engine-owned collection declarations StoreKind binding TimeProvider and request-derived identity with planted-violation tests.</w:t>
      </w:r>
    </w:p>
    <w:p>
      <w:r>
        <w:t>M01 V5 2 Implement Windows App Service Reader and Executor modes from one application project, separate Read/Respond identity access, bounded clients and engine containers, a private local inference path, tenant-aware health and both operator and customer recovery runbooks. SOC-D039 collection ownership is a confirmed contract; later additive or versioned changes follow the integration lane. Use free Radzen Software-based Orca light/dark by default with dark mode and a switcher for verified free themes only; persist user preference with a first-paint cache. No paid tool premium theme or component key is required.</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lifecycle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Register customer-provided operational/content Atlas databases and operator-held per-tenant records; validate connections markers grants and source ownership. Separate tenant databases are mandatory; the SOC does not provision customer clusters.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Module catalogue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Record module version capabilities dependencies state and per tenant enablement. Distinguish installed enabled healthy degraded and disabled.</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shell</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.NET Blazor Server and Radzen UI components; provide tenant context navigation notifications and consistent accessibility.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Security foundation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Resolve tenant server side; protect secrets; validate workloads; centralise append only audit and scoped file and data access.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Release operations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Accept and enable each engine separately; deploy a versioned host with compatible migrations and forward recovery. No hot swapping or compulsory microservice split.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M01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Resilience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durable work tracking retries health telemetry backup restore and safeguards against replaying stale response commands.</w:t>
            </w:r>
          </w:p>
        </w:tc>
      </w:tr>
    </w:tbl>
    <w:p>
      <w:bookmarkStart w:id="18" w:name="orca_ch_018"/>
      <w:pPr>
        <w:pStyle w:val="Tenant_Heading1"/>
      </w:pPr>
      <w:r>
        <w:t>M01 Platform and tenant settings</w:t>
      </w:r>
      <w:bookmarkEnd w:id="18"/>
    </w:p>
    <w:p>
      <w:r>
        <w:t>ECFG M01 | Required dependencies: None; mandatory foundation, locked On.</w:t>
      </w:r>
    </w:p>
    <w:p>
      <w:r>
        <w:t>Permission boundary: tenant.manage; sensitive trust changes use existing foundation recovery/approval controls.</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tenantCode</w:t>
            </w:r>
          </w:p>
        </w:tc>
        <w:tc>
          <w:tcPr>
            <w:tcW w:type="dxa" w:w="2016"/>
          </w:tcPr>
          <w:p>
            <w:pPr>
              <w:spacing w:after="60" w:before="40" w:line="240" w:lineRule="auto"/>
            </w:pPr>
            <w:r>
              <w:rPr>
                <w:sz w:val="18"/>
              </w:rPr>
              <w:t>string; existing immutable</w:t>
            </w:r>
          </w:p>
        </w:tc>
        <w:tc>
          <w:tcPr>
            <w:tcW w:type="dxa" w:w="5400"/>
          </w:tcPr>
          <w:p>
            <w:pPr>
              <w:spacing w:after="60" w:before="40" w:line="240" w:lineRule="auto"/>
            </w:pPr>
            <w:r>
              <w:rPr>
                <w:sz w:val="18"/>
              </w:rPr>
              <w:t>Read-only after creation; unique code resolves the trusted tenant, never renamed by a settings patch.</w:t>
            </w:r>
          </w:p>
        </w:tc>
      </w:tr>
      <w:tr>
        <w:trPr>
          <w:cantSplit/>
        </w:trPr>
        <w:tc>
          <w:tcPr>
            <w:tcW w:type="dxa" w:w="2448"/>
          </w:tcPr>
          <w:p>
            <w:pPr>
              <w:spacing w:after="60" w:before="40" w:line="240" w:lineRule="auto"/>
            </w:pPr>
            <w:r>
              <w:rPr>
                <w:sz w:val="18"/>
              </w:rPr>
              <w:t>lifecycle</w:t>
            </w:r>
          </w:p>
        </w:tc>
        <w:tc>
          <w:tcPr>
            <w:tcW w:type="dxa" w:w="2016"/>
          </w:tcPr>
          <w:p>
            <w:pPr>
              <w:spacing w:after="60" w:before="40" w:line="240" w:lineRule="auto"/>
            </w:pPr>
            <w:r>
              <w:rPr>
                <w:sz w:val="18"/>
              </w:rPr>
              <w:t>enum; existing state</w:t>
            </w:r>
          </w:p>
        </w:tc>
        <w:tc>
          <w:tcPr>
            <w:tcW w:type="dxa" w:w="5400"/>
          </w:tcPr>
          <w:p>
            <w:pPr>
              <w:spacing w:after="60" w:before="40" w:line="240" w:lineRule="auto"/>
            </w:pPr>
            <w:r>
              <w:rPr>
                <w:sz w:val="18"/>
              </w:rPr>
              <w:t>Active/ReadOnly/Suspended/Quarantined. Show here; mutate only through registered lifecycle command, not generic field patch.</w:t>
            </w:r>
          </w:p>
        </w:tc>
      </w:tr>
      <w:tr>
        <w:trPr>
          <w:cantSplit/>
        </w:trPr>
        <w:tc>
          <w:tcPr>
            <w:tcW w:type="dxa" w:w="2448"/>
          </w:tcPr>
          <w:p>
            <w:pPr>
              <w:spacing w:after="60" w:before="40" w:line="240" w:lineRule="auto"/>
            </w:pPr>
            <w:r>
              <w:rPr>
                <w:sz w:val="18"/>
              </w:rPr>
              <w:t>operationalStoreRef</w:t>
            </w:r>
          </w:p>
        </w:tc>
        <w:tc>
          <w:tcPr>
            <w:tcW w:type="dxa" w:w="2016"/>
          </w:tcPr>
          <w:p>
            <w:pPr>
              <w:spacing w:after="60" w:before="40" w:line="240" w:lineRule="auto"/>
            </w:pPr>
            <w:r>
              <w:rPr>
                <w:sz w:val="18"/>
              </w:rPr>
              <w:t>Ref; unset at onboarding</w:t>
            </w:r>
          </w:p>
        </w:tc>
        <w:tc>
          <w:tcPr>
            <w:tcW w:type="dxa" w:w="5400"/>
          </w:tcPr>
          <w:p>
            <w:pPr>
              <w:spacing w:after="60" w:before="40" w:line="240" w:lineRule="auto"/>
            </w:pPr>
            <w:r>
              <w:rPr>
                <w:sz w:val="18"/>
              </w:rPr>
              <w:t>Customer operational database binding; endpoint, grants, marker and cluster identity verified before activation.</w:t>
            </w:r>
          </w:p>
        </w:tc>
      </w:tr>
      <w:tr>
        <w:trPr>
          <w:cantSplit/>
        </w:trPr>
        <w:tc>
          <w:tcPr>
            <w:tcW w:type="dxa" w:w="2448"/>
          </w:tcPr>
          <w:p>
            <w:pPr>
              <w:spacing w:after="60" w:before="40" w:line="240" w:lineRule="auto"/>
            </w:pPr>
            <w:r>
              <w:rPr>
                <w:sz w:val="18"/>
              </w:rPr>
              <w:t>contentStoreRef</w:t>
            </w:r>
          </w:p>
        </w:tc>
        <w:tc>
          <w:tcPr>
            <w:tcW w:type="dxa" w:w="2016"/>
          </w:tcPr>
          <w:p>
            <w:pPr>
              <w:spacing w:after="60" w:before="40" w:line="240" w:lineRule="auto"/>
            </w:pPr>
            <w:r>
              <w:rPr>
                <w:sz w:val="18"/>
              </w:rPr>
              <w:t>Ref; unset at onboarding</w:t>
            </w:r>
          </w:p>
        </w:tc>
        <w:tc>
          <w:tcPr>
            <w:tcW w:type="dxa" w:w="5400"/>
          </w:tcPr>
          <w:p>
            <w:pPr>
              <w:spacing w:after="60" w:before="40" w:line="240" w:lineRule="auto"/>
            </w:pPr>
            <w:r>
              <w:rPr>
                <w:sz w:val="18"/>
              </w:rPr>
              <w:t>Separate customer content database; distinct purpose and credentials; validate ownership and marker.</w:t>
            </w:r>
          </w:p>
        </w:tc>
      </w:tr>
      <w:tr>
        <w:trPr>
          <w:cantSplit/>
        </w:trPr>
        <w:tc>
          <w:tcPr>
            <w:tcW w:type="dxa" w:w="2448"/>
          </w:tcPr>
          <w:p>
            <w:pPr>
              <w:spacing w:after="60" w:before="40" w:line="240" w:lineRule="auto"/>
            </w:pPr>
            <w:r>
              <w:rPr>
                <w:sz w:val="18"/>
              </w:rPr>
              <w:t>operatorAuthorityRef</w:t>
            </w:r>
          </w:p>
        </w:tc>
        <w:tc>
          <w:tcPr>
            <w:tcW w:type="dxa" w:w="2016"/>
          </w:tcPr>
          <w:p>
            <w:pPr>
              <w:spacing w:after="60" w:before="40" w:line="240" w:lineRule="auto"/>
            </w:pPr>
            <w:r>
              <w:rPr>
                <w:sz w:val="18"/>
              </w:rPr>
              <w:t>Ref; platform managed</w:t>
            </w:r>
          </w:p>
        </w:tc>
        <w:tc>
          <w:tcPr>
            <w:tcW w:type="dxa" w:w="5400"/>
          </w:tcPr>
          <w:p>
            <w:pPr>
              <w:spacing w:after="60" w:before="40" w:line="240" w:lineRule="auto"/>
            </w:pPr>
            <w:r>
              <w:rPr>
                <w:sz w:val="18"/>
              </w:rPr>
              <w:t>Operator-held per-tenant authority binding. Never writable by an ordinary tenant editor.</w:t>
            </w:r>
          </w:p>
        </w:tc>
      </w:tr>
      <w:tr>
        <w:trPr>
          <w:cantSplit/>
        </w:trPr>
        <w:tc>
          <w:tcPr>
            <w:tcW w:type="dxa" w:w="2448"/>
          </w:tcPr>
          <w:p>
            <w:pPr>
              <w:spacing w:after="60" w:before="40" w:line="240" w:lineRule="auto"/>
            </w:pPr>
            <w:r>
              <w:rPr>
                <w:sz w:val="18"/>
              </w:rPr>
              <w:t>capacityPolicyRef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Caps pools, workers, storage and engine containers; tenant override cannot exceed platform capacity ceiling.</w:t>
            </w:r>
          </w:p>
        </w:tc>
      </w:tr>
      <w:tr>
        <w:trPr>
          <w:cantSplit/>
        </w:trPr>
        <w:tc>
          <w:tcPr>
            <w:tcW w:type="dxa" w:w="2448"/>
          </w:tcPr>
          <w:p>
            <w:pPr>
              <w:spacing w:after="60" w:before="40" w:line="240" w:lineRule="auto"/>
            </w:pPr>
            <w:r>
              <w:rPr>
                <w:sz w:val="18"/>
              </w:rPr>
              <w:t>recoveryPolicyRef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Operator and customer recovery responsibilities remain distinct; do not promise customer recovery from operator targets.</w:t>
            </w:r>
          </w:p>
        </w:tc>
      </w:tr>
      <w:tr>
        <w:trPr>
          <w:cantSplit/>
        </w:trPr>
        <w:tc>
          <w:tcPr>
            <w:tcW w:type="dxa" w:w="2448"/>
          </w:tcPr>
          <w:p>
            <w:pPr>
              <w:spacing w:after="60" w:before="40" w:line="240" w:lineRule="auto"/>
            </w:pPr>
            <w:r>
              <w:rPr>
                <w:sz w:val="18"/>
              </w:rPr>
              <w:t>contactRefs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Tenant sponsor/operations contacts from approved directory records, with purpose and notification consent.</w:t>
            </w:r>
          </w:p>
        </w:tc>
      </w:tr>
    </w:tbl>
    <w:p>
      <w:pPr>
        <w:pStyle w:val="Tenant_Heading2"/>
      </w:pPr>
      <w:r>
        <w:t>Lifecycle and integration</w:t>
      </w:r>
    </w:p>
    <w:p>
      <w:r>
        <w:t>Binding changes require trust revalidation and a controlled stop/recovery path. Foundation isolation, audit and lifecycle enforcement continue when business engines are Off.</w:t>
      </w:r>
    </w:p>
    <w:p>
      <w:pPr>
        <w:pStyle w:val="Tenant_Heading2"/>
      </w:pPr>
      <w:r>
        <w:t>Engine acceptance scenario</w:t>
      </w:r>
    </w:p>
    <w:p>
      <w:r>
        <w:t>ECFG M01 AC: Try to turn M01 Off; edit immutable code; substitute a second tenant database; save an unverified marker. All must be rejected without weakening isolation.</w:t>
      </w:r>
    </w:p>
    <w:p>
      <w:r>
        <w:t>All common TSET/NAV gates apply. Values and references are server-validated in the selected tenant; generic settings edits never replace the owning engine’s publication or approval workflow.</w:t>
      </w:r>
    </w:p>
    <w:p>
      <w:bookmarkStart w:id="19" w:name="orca_ch_019"/>
      <w:pPr>
        <w:pStyle w:val="Heading1"/>
        <w:keepNext/>
        <w:pageBreakBefore/>
      </w:pPr>
      <w:r>
        <w:rPr>
          <w:color w:val="000000"/>
        </w:rPr>
        <w:t>M02 UAM permission matrix engine</w:t>
      </w:r>
      <w:bookmarkEnd w:id="19"/>
    </w:p>
    <w:p>
      <w:r>
        <w:t>Enforce central granular authorisation independently from Entra authentication and application role assignment.</w:t>
      </w:r>
    </w:p>
    <w:p>
      <w:r>
        <w:t>Dependencies: M01</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Entra linkage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 Entra SSO with application roles assigned to security groups and direct group membership. Preserve the complete SOC role catalogue.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Permission matrix</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Manage role by module resource and action cells with Allow Deny or Inherit; attach tenant team sensitivity field and contextual scope.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Effective access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Evaluate issuer account class role ceiling narrowed tenant roles per-role allows minus denies subject denial resource scope and contextual controls on every read and command.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Matrix governance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 draft review approve publish simulate compare export and revert permission matrix changes with separation of duties.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Central integration</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Adapt Audit AI Permission Manager as the single matrix authority; remove external UAM adapter dependency and Super Admin bypass.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Revocation and diagnosis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effective access explanations policy decision audit revocation handling and fail closed operation after decision freshness expires.</w:t>
            </w:r>
          </w:p>
        </w:tc>
      </w:tr>
    </w:tbl>
    <w:p>
      <w:pPr>
        <w:keepNext w:val="0"/>
        <w:keepLines w:val="0"/>
        <w:pageBreakBefore w:val="0"/>
        <w:spacing w:before="0" w:after="0" w:line="20" w:lineRule="exact"/>
      </w:pPr>
    </w:p>
    <w:p>
      <w:pPr>
        <w:pStyle w:val="Heading2"/>
        <w:keepNext/>
      </w:pPr>
      <w:r>
        <w:rPr>
          <w:color w:val="000000"/>
        </w:rPr>
        <w:t>Required workflow</w:t>
      </w:r>
    </w:p>
    <w:p>
      <w:r>
        <w:t>Entra group yields app role -&gt; resolve tenant and matrix version -&gt; apply scoped rules and explicit denies -&gt; allow with obligations or deny -&gt; audit.</w:t>
      </w:r>
    </w:p>
    <w:p>
      <w:pPr>
        <w:pStyle w:val="Heading2"/>
        <w:keepNext/>
      </w:pPr>
      <w:r>
        <w:rPr>
          <w:color w:val="000000"/>
        </w:rPr>
        <w:t>Acceptance criteria</w:t>
      </w:r>
    </w:p>
    <w:p>
      <w:pPr>
        <w:pStyle w:val="ListBullet"/>
      </w:pPr>
      <w:r>
        <w:t>M02 AC1 Hiding a UI button is never the sole permission check.</w:t>
      </w:r>
    </w:p>
    <w:p>
      <w:pPr>
        <w:pStyle w:val="ListBullet"/>
      </w:pPr>
      <w:r>
        <w:t>M02 AC2 An L1 user cannot obtain L3 permissions from a matrix grant beyond the Entra role ceiling.</w:t>
      </w:r>
    </w:p>
    <w:p>
      <w:pPr>
        <w:pStyle w:val="ListBullet"/>
      </w:pPr>
      <w:r>
        <w:t>M02 AC3 Matrix publication is versioned reversible and tested; requester cannot approve own privileged escalation.</w:t>
      </w:r>
    </w:p>
    <w:p>
      <w:pPr>
        <w:pStyle w:val="ListBullet"/>
      </w:pPr>
      <w:r>
        <w:t>M02 AC4 Disabled or unavailable policy decisions cannot authorise queued containment.</w:t>
      </w:r>
    </w:p>
    <w:p>
      <w:pPr>
        <w:pStyle w:val="Heading2"/>
        <w:keepNext/>
      </w:pPr>
      <w:r>
        <w:rPr>
          <w:color w:val="000000"/>
        </w:rPr>
        <w:t>Suggested data responsibilities</w:t>
      </w:r>
    </w:p>
    <w:p>
      <w:r>
        <w:t>PermissionDefinition RoleTemplate MatrixVersion MatrixCell ScopeRule PrincipalBinding PolicyDecision and RevocationEvent.</w:t>
      </w:r>
    </w:p>
    <w:p>
      <w:pPr>
        <w:pStyle w:val="Heading2"/>
        <w:keepNext/>
      </w:pPr>
      <w:r>
        <w:rPr>
          <w:color w:val="000000"/>
        </w:rPr>
        <w:t>Suggested implementation direction</w:t>
      </w:r>
    </w:p>
    <w:p>
      <w:r>
        <w:t>Build the matrix on the adapted Permission Manager. Use internal IPermissionGate and foundation request identity, versioned policy and immutable group object IDs. There is no external UAM adapter or second policy master. The small matrix is an illustrative subset of the complete catalogue.</w:t>
      </w:r>
    </w:p>
    <w:p>
      <w:pPr>
        <w:pStyle w:val="Heading2"/>
        <w:keepNext/>
      </w:pPr>
      <w:r>
        <w:rPr>
          <w:color w:val="000000"/>
        </w:rPr>
        <w:t>Research before development</w:t>
      </w:r>
    </w:p>
    <w:p>
      <w:r>
        <w:t>Confirm Permission Manager reuse intake and exact contract against source; implement role-scoped and subject-scoped denial, three-state tenant overrides, four-eyes publication and distributed entitlement version invalidation. No external UAM procurement decision remains.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The portal is single tenant in the operator Entra directory per environment. Operators use member accounts; customer users are B2B guests. Contractors needing operator roles receive member accounts. Guests may hold Customer.* roles and the tenant membership marker only; a guest with SOC IR DFIR ITSM Platform or Emergency claims is denied those contributions and flagged. A token issued by a customer directory is not a portal operator token. Validate issuer audience signature time and environment before evaluating application access. Sign-in uses OIDC code flow with PKCE. Entra app roles are not Azure directory administrator roles.</w:t>
      </w:r>
    </w:p>
    <w:p>
      <w:r>
        <w:t>Role groups AISOC-&lt;Role&gt; and tenant groups AISOC-T-&lt;Code&gt; are separate, bound by immutable object IDs. Nonproduction uses separate registrations and groups. App role assignment requires direct membership in assigned groups; nested membership is not relied on. Operator Entra P2 is reported in place. Entitlement management access packages invite guests with customer sponsor approval expiry and review; manual operator invitation is the fallback. The SOC does not write directory memberships. Identity keys use operator tid plus oid; customer source tenant IDs remain separate registry fields.</w:t>
      </w:r>
    </w:p>
    <w:p>
      <w:r>
        <w:t>For each effective role, combine its allows and remove its role-scoped denies. Union the remaining role contributions. A subject-scoped deny overrides the whole union. Context membership resource scope and separation of duties still constrain the result; unconfigured permission denies. Platform.SuperAdmin permits platform administration only and has no tenant content bypass. A time bounded support session grants only its named scope and cannot defeat subject denies or independent approval rules.</w:t>
      </w:r>
    </w:p>
    <w:tbl>
      <w:tblPr>
        <w:tblStyle w:val="LightShading-Accent1"/>
        <w:tblW w:type="auto" w:w="0"/>
        <w:tblLayout w:type="fixed"/>
        <w:tblLook w:firstColumn="1" w:firstRow="1" w:lastColumn="0" w:lastRow="0" w:noHBand="0" w:noVBand="1" w:val="04A0"/>
      </w:tblPr>
      <w:tblGrid>
        <w:gridCol w:w="2592"/>
        <w:gridCol w:w="2592"/>
        <w:gridCol w:w="2592"/>
        <w:gridCol w:w="2592"/>
      </w:tblGrid>
      <w:tr>
        <w:trPr>
          <w:tblHeader/>
          <w:cantSplit/>
          <w:tblHeader/>
          <w:cantSplit/>
        </w:trPr>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App role value</w:t>
            </w:r>
          </w:p>
        </w:tc>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Role</w:t>
            </w:r>
          </w:p>
        </w:tc>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Permission ceiling</w:t>
            </w:r>
          </w:p>
        </w:tc>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Restriction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SOC.L1</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L1 SOC 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 scoped incidents enrich triage add notes acknowledge assign self</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close confirmed high severity or execute containment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SOC.L2</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L2 SOC Analyst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Investigate correlate classify recommend playbooks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Response execution and high severity closure separately granted</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SOC.L3</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L3 Senior 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Complex investigation escalation technical review</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automatic UAM or platform admin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SOC.Hunter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Threat Hunter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Approved read only hunting queries create findings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unrestricted query or response execution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IR.Engineer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Response Engineer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Execute approved containment eradication recovery tasks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approve own actions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IR.Lead</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 Response Lead</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Command response approve eligible high risk actions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approve actions they requested or materially authored</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IR.Commander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Major Incident Commander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Declare major incident coordinate priorities communications recovery gates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Separate technical execution permission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DFIR.Analyst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Digital Forensics Analyst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Collect analyse hashed evidence maintain custody</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Restricted evidence export requires extra grant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DFIR.Custodian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Evidence Custodian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evidence access chain custody legal hold</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unilateral evidence destruction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Eng.Detection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Detection Engineer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 detection logic test publish through review</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production self approval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Eng.Security</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Security Engineer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Maintain approved integrations response implementations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bypass response policy</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Eng.SOAR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Automation Engineer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Author test and version playbooks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approve own production publication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Eng.ThreatIntel</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Threat Intelligence 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Curate indicators confidence expiry knowledge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unreviewed global blocking</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Eng.Identity</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Identity Security Specialist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Investigate identity events prepare remediation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Account actions require specific UAM grant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Eng.Cloud</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Cloud Security Specialist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Investigate cloud posture and workload alerts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general subscription owner rights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Eng.Email</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Messaging Security Specialist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Investigate mail and collaboration threats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Purge or mailbox changes explicitly approved</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Ops.ShiftLead</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Shift Lead</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active queues handover reassign and escalate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default high risk approval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Ops.TeamLead</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SOC Team Lead</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Team capacity skills roster quality review</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Scope limited to assigned teams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Ops.Manager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SOC Manager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Service metrics staffing SLA policy proposals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implicit restricted evidence access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Ops.ServiceOwner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SOC Service Owner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 tenant service policy changes and readiness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Separate UAM and action approval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Gov.AIGovernor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 Governance Officer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Approve model use evaluations autonomy policy</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response execution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Gov.ModelReviewer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AI Model Evaluator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Evaluate prompts models redacted traces and regression sets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publish own evaluation as approval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Gov.Risk</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Risk and Compliance Officer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risk exceptions NIST evidence and reporting</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 only operational data by scope</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Gov.Auditor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Independent Auditor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Read audit and approved evidence reports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mutations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Platform.Admin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Platform Administrator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Deploy operate platform configuration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default customer incident content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Platform.TenantAdmin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Configuration Administrator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settings connectors routing configuration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Secret values hidden; privileged consent remains external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Platform.ConnectorAdmin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Connector Administrator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Configure test rotate connector references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grant directory consent through portal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Platform.UAMAdmin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UAM Matrix Administrator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Draft simulate and manage policy versions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Independent publication; no self entitlement approval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Platform.SRE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Site Reliability Engineer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Service health backup recovery and telemetry</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Time bounded audited tenant support access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Platform.Support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Support Engineer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Read sanitised diagnostics approved support sessions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standing customer data access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Customer.Admin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 Administrator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 teams scopes settings and entitlement requests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bypass central approval controls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Customer.Analyst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 Security Analyst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Investigate and comment on customer visible incidents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access to internal only notes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Customer.Approver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 Response Approver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Approve customer impact within specified scope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Cannot approve own proposal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Customer.Reader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 Read Only User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Read customer visible incidents and dashboards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Ordinary file download follows read; no automatic bulk or malicious-evidence export.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Customer.Executive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 Executive Viewer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Aggregated service and risk summaries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raw sensitive incident data</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Customer.Requester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Scoped Requester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Submit technical incidents, service requests and suspected security reports through M23; read own/delegated permitted submissions.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No whole-tenant or direct M04 management; authorised SOC triage creates/links security incidents. Explicit operator requester contributions are permitted.</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Emergency.Operator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Emergency Access Operator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Time limited explicitly approved recovery functions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universal bypass; independent audit and review</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SOC.Reader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SOC Read Only Analyst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Scoped operational reads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mutation or implied export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Platform.SuperAdmin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Super Admin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Registry matrix users connectors modules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tenant content bypass; no self approval</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AISOC.TenantMember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Membership Marker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Eligibility to resolve assigned tenant membership</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feature permission by itself</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Assets.Manager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Asset Manager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ownership identity merge and lifecycle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response authority</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Change.Requester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 Requester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Submit scoped change proposals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approve own plan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Change.Manager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 Manager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 schedule and review changes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Execution requires separate grant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Change.Approver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 Approver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Independent scoped approval</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Cannot approve own material authorship</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 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Root cause and workaround investigation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Publication separately granted</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Problem.Manager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Problem Manager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Known errors corrective actions and review</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change or response bypass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FinOps.Analyst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FinOps Analyst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Scoped cost and savings analysis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commitment purchase authority</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Licence.Administrator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Licence Administrator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Inventory review and licence action proposals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automatic directory write</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Gov.IdentityReviewer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Governance Reviewer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permitted activity and access findings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standing account mutation</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Gov.DevOpsReviewer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DevOps Governance Reviewer</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organisation entitlements and delivery</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project admin rights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Executive.FinanceViewer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Executive Finance Viewer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Approved financial and risk aggregates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named activity detail by default</w:t>
            </w:r>
          </w:p>
        </w:tc>
      </w:tr>
    </w:tbl>
    <w:p>
      <w:pPr>
        <w:keepNext w:val="0"/>
        <w:keepLines w:val="0"/>
        <w:pageBreakBefore w:val="0"/>
        <w:spacing w:before="0" w:after="0" w:line="20" w:lineRule="exact"/>
      </w:pPr>
    </w:p>
    <w:p>
      <w:pPr>
        <w:pStyle w:val="Heading3"/>
        <w:keepNext/>
      </w:pPr>
      <w:r>
        <w:rPr>
          <w:color w:val="000000"/>
        </w:rPr>
        <w:t>Granular permission vocabulary</w:t>
      </w:r>
    </w:p>
    <w:p>
      <w:r>
        <w:t>Permission IDs should use stable action names: incident.read, incident.create, incident.update, incident.classify, incident.assign, incident.transition, incident.close, incident.reopen, incident.merge, comment.internal.write, comment.customer.write, comment.source.publish, evidence.read, evidence.collect, evidence.export, evidence.hold, hunt.execute, response.propose, response.approve, response.execute, response.cancel, playbook.author, playbook.publish, ai.infer, ai.trace.read, ai.policy.approve, roster.read, roster.manage, routing.override, connector.configure, connector.test, tenant.configure, audit.read, report.export and uam.mapping.manage. Actions accept tenant, team, incident, sensitivity and environment scopes. High risk operations require action specific grants such as response.endpoint.isolate or response.identity.disable; response.execute alone is insufficient. The v5 catalogue adds module-owned families. Legacy evidence.* identifiers are explicitly mapped M03 aliases of filestore permissions with equivalent scope, not a second authority; do not grant both namespaces by implication.</w:t>
      </w:r>
    </w:p>
    <w:p>
      <w:r>
        <w:t>The internal Permission Manager decision is versioned by subject entitlement matrix tenant and resource. Proposed read caching is bounded and invalidated on local version change; approvals and execution use live checks. Local removal blocks the next operation; directory removal is observed through token and group sync freshness, not claimed instantaneous. Missing policy or freshness fails closed. The 180-minute offline membership bound in SOC-D061 is a pending default, not an instant-revocation guarantee.</w:t>
      </w:r>
    </w:p>
    <w:p>
      <w:r>
        <w:t>Internal Permission Manager call, not an HTTP endpoint:</w:t>
      </w:r>
    </w:p>
    <w:p>
      <w:r>
        <w:t>DemandAsync(resolvedTenantContext, "incident.update", resourceReference)</w:t>
      </w:r>
    </w:p>
    <w:p>
      <w:r>
        <w:t>Actor and held roles come from IRequestPrincipal or a verified job ticket.</w:t>
      </w:r>
    </w:p>
    <w:p>
      <w:r>
        <w:t>Return PermissionDecision with allow reason scope and audit decision ID,</w:t>
      </w:r>
    </w:p>
    <w:p>
      <w:r>
        <w:t>matrixVersion subjectEntitlementVersion and freshness obligations.</w:t>
      </w:r>
    </w:p>
    <w:p>
      <w:r>
        <w:t>Callers cannot submit their own subject role set or substitute a tenant context.</w:t>
      </w:r>
    </w:p>
    <w:p>
      <w:pPr>
        <w:pStyle w:val="Heading2"/>
        <w:keepNext/>
      </w:pPr>
      <w:r>
        <w:rPr>
          <w:color w:val="000000"/>
        </w:rPr>
        <w:t>M02 Permission Manager decision design</w:t>
      </w:r>
    </w:p>
    <w:p>
      <w:r>
        <w:t>M02 V5 1 Adapt Permission Manager as the single authority; remove the external UAM adapter task and Super Admin short circuit. Seed string permission constants per engine. Publish immutable matrix versions under four-eyes, simulate before activation, audit decisions and include entitlement and matrix versions in cache keys.</w:t>
      </w:r>
    </w:p>
    <w:p>
      <w:r>
        <w:t>M02 V5 2 Algorithm: authenticate operator-issued identity; resolve active membership and allowed account class; narrow held roles by the three-state tenant override; compute each role allow minus that role deny; union; subtract subject deny; intersect resource team condition and separation of duty. Recheck before write approval export AI retrieval and execution. Missing policy or stale mandatory membership denies.</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M02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Entra linkage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 Entra SSO with application roles assigned to security groups and direct group membership. Preserve the complete SOC role catalogue.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M02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Permission matrix</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Manage role by module resource and action cells with Allow Deny or Inherit; attach tenant team sensitivity field and contextual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M02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Effective access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Evaluate issuer account class role ceiling narrowed tenant roles per-role allows minus denies subject denial resource scope and contextual controls on every read and command.</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M02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Matrix governance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 draft review approve publish simulate compare export and revert permission matrix changes with separation of duties.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M02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Central integration</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Adapt Audit AI Permission Manager as the single matrix authority; remove external UAM adapter dependency and Super Admin bypass.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M02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Revocation and diagnosis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effective access explanations policy decision audit revocation handling and fail closed operation after decision freshness expires.</w:t>
            </w:r>
          </w:p>
        </w:tc>
      </w:tr>
    </w:tbl>
    <w:p>
      <w:bookmarkStart w:id="20" w:name="orca_ch_020"/>
      <w:pPr>
        <w:pStyle w:val="Tenant_Heading1"/>
      </w:pPr>
      <w:r>
        <w:t>M02 UAM permission matrix settings</w:t>
      </w:r>
      <w:bookmarkEnd w:id="20"/>
    </w:p>
    <w:p>
      <w:r>
        <w:t>ECFG M02 | Required dependencies: M01; mandatory foundation, locked On.</w:t>
      </w:r>
    </w:p>
    <w:p>
      <w:r>
        <w:t>Permission boundary: uam.read/simulate/draft/publish/approve; entitlement.manage where applicable.</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publishedMatrixRef</w:t>
            </w:r>
          </w:p>
        </w:tc>
        <w:tc>
          <w:tcPr>
            <w:tcW w:type="dxa" w:w="2016"/>
          </w:tcPr>
          <w:p>
            <w:pPr>
              <w:spacing w:after="60" w:before="40" w:line="240" w:lineRule="auto"/>
            </w:pPr>
            <w:r>
              <w:rPr>
                <w:sz w:val="18"/>
              </w:rPr>
              <w:t>Ref; existing published version</w:t>
            </w:r>
          </w:p>
        </w:tc>
        <w:tc>
          <w:tcPr>
            <w:tcW w:type="dxa" w:w="5400"/>
          </w:tcPr>
          <w:p>
            <w:pPr>
              <w:spacing w:after="60" w:before="40" w:line="240" w:lineRule="auto"/>
            </w:pPr>
            <w:r>
              <w:rPr>
                <w:sz w:val="18"/>
              </w:rPr>
              <w:t>Read-only in this form; publish through the existing independent matrix workflow.</w:t>
            </w:r>
          </w:p>
        </w:tc>
      </w:tr>
      <w:tr>
        <w:trPr>
          <w:cantSplit/>
        </w:trPr>
        <w:tc>
          <w:tcPr>
            <w:tcW w:type="dxa" w:w="2448"/>
          </w:tcPr>
          <w:p>
            <w:pPr>
              <w:spacing w:after="60" w:before="40" w:line="240" w:lineRule="auto"/>
            </w:pPr>
            <w:r>
              <w:rPr>
                <w:sz w:val="18"/>
              </w:rPr>
              <w:t>tenantRoleOverrides</w:t>
            </w:r>
          </w:p>
        </w:tc>
        <w:tc>
          <w:tcPr>
            <w:tcW w:type="dxa" w:w="2016"/>
          </w:tcPr>
          <w:p>
            <w:pPr>
              <w:spacing w:after="60" w:before="40" w:line="240" w:lineRule="auto"/>
            </w:pPr>
            <w:r>
              <w:rPr>
                <w:sz w:val="18"/>
              </w:rPr>
              <w:t>scoped map; inherit</w:t>
            </w:r>
          </w:p>
        </w:tc>
        <w:tc>
          <w:tcPr>
            <w:tcW w:type="dxa" w:w="5400"/>
          </w:tcPr>
          <w:p>
            <w:pPr>
              <w:spacing w:after="60" w:before="40" w:line="240" w:lineRule="auto"/>
            </w:pPr>
            <w:r>
              <w:rPr>
                <w:sz w:val="18"/>
              </w:rPr>
              <w:t>Absent=inherit; explicit set narrows; empty set removes all roles. Never add an unheld role.</w:t>
            </w:r>
          </w:p>
        </w:tc>
      </w:tr>
      <w:tr>
        <w:trPr>
          <w:cantSplit/>
        </w:trPr>
        <w:tc>
          <w:tcPr>
            <w:tcW w:type="dxa" w:w="2448"/>
          </w:tcPr>
          <w:p>
            <w:pPr>
              <w:spacing w:after="60" w:before="40" w:line="240" w:lineRule="auto"/>
            </w:pPr>
            <w:r>
              <w:rPr>
                <w:sz w:val="18"/>
              </w:rPr>
              <w:t>scopePolicyRef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Tenant/team/resource/sensitivity restrictions; all held-role contributions remain subject to subject denies.</w:t>
            </w:r>
          </w:p>
        </w:tc>
      </w:tr>
      <w:tr>
        <w:trPr>
          <w:cantSplit/>
        </w:trPr>
        <w:tc>
          <w:tcPr>
            <w:tcW w:type="dxa" w:w="2448"/>
          </w:tcPr>
          <w:p>
            <w:pPr>
              <w:spacing w:after="60" w:before="40" w:line="240" w:lineRule="auto"/>
            </w:pPr>
            <w:r>
              <w:rPr>
                <w:sz w:val="18"/>
              </w:rPr>
              <w:t>subjectDenyRefs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Manage through UAM audit/publication rules; denies override the union across all roles.</w:t>
            </w:r>
          </w:p>
        </w:tc>
      </w:tr>
      <w:tr>
        <w:trPr>
          <w:cantSplit/>
        </w:trPr>
        <w:tc>
          <w:tcPr>
            <w:tcW w:type="dxa" w:w="2448"/>
          </w:tcPr>
          <w:p>
            <w:pPr>
              <w:spacing w:after="60" w:before="40" w:line="240" w:lineRule="auto"/>
            </w:pPr>
            <w:r>
              <w:rPr>
                <w:sz w:val="18"/>
              </w:rPr>
              <w:t>reviewPolicyRef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Access review owners, cadence and expiry; policy publication cannot be self-approved.</w:t>
            </w:r>
          </w:p>
        </w:tc>
      </w:tr>
      <w:tr>
        <w:trPr>
          <w:cantSplit/>
        </w:trPr>
        <w:tc>
          <w:tcPr>
            <w:tcW w:type="dxa" w:w="2448"/>
          </w:tcPr>
          <w:p>
            <w:pPr>
              <w:spacing w:after="60" w:before="40" w:line="240" w:lineRule="auto"/>
            </w:pPr>
            <w:r>
              <w:rPr>
                <w:sz w:val="18"/>
              </w:rPr>
              <w:t>revocationPolicyRef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Local entitlement version invalidation and trusted freshness. Directory removal follows measured source freshness.</w:t>
            </w:r>
          </w:p>
        </w:tc>
      </w:tr>
      <w:tr>
        <w:trPr>
          <w:cantSplit/>
        </w:trPr>
        <w:tc>
          <w:tcPr>
            <w:tcW w:type="dxa" w:w="2448"/>
          </w:tcPr>
          <w:p>
            <w:pPr>
              <w:spacing w:after="60" w:before="40" w:line="240" w:lineRule="auto"/>
            </w:pPr>
            <w:r>
              <w:rPr>
                <w:sz w:val="18"/>
              </w:rPr>
              <w:t>supportAccessPolicyRef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Bounded named scope and time; cannot defeat subject denies or independent approval requirements.</w:t>
            </w:r>
          </w:p>
        </w:tc>
      </w:tr>
    </w:tbl>
    <w:p>
      <w:pPr>
        <w:pStyle w:val="Tenant_Heading2"/>
      </w:pPr>
      <w:r>
        <w:t>Lifecycle and integration</w:t>
      </w:r>
    </w:p>
    <w:p>
      <w:r>
        <w:t>Permission publication invalidates navigation and operation gates. Never allow a settings switch to disable UAM, an early full-user Allow, or a null job requester that manufactures authority.</w:t>
      </w:r>
    </w:p>
    <w:p>
      <w:pPr>
        <w:pStyle w:val="Tenant_Heading2"/>
      </w:pPr>
      <w:r>
        <w:t>Engine acceptance scenario</w:t>
      </w:r>
    </w:p>
    <w:p>
      <w:r>
        <w:t>ECFG M02 AC: Test role deny plus another allowing role, subject deny, empty override, guest with operator role, SuperAdmin content access and self-approval. Verify canonical deny semantics.</w:t>
      </w:r>
    </w:p>
    <w:p>
      <w:r>
        <w:t>All common TSET/NAV gates apply. Values and references are server-validated in the selected tenant; generic settings edits never replace the owning engine’s publication or approval workflow.</w:t>
      </w:r>
    </w:p>
    <w:p>
      <w:bookmarkStart w:id="21" w:name="orca_ch_021"/>
      <w:pPr>
        <w:pStyle w:val="Heading1"/>
        <w:keepNext/>
        <w:pageBreakBefore w:val="0"/>
      </w:pPr>
      <w:r>
        <w:rPr>
          <w:color w:val="000000"/>
        </w:rPr>
        <w:t>M03 File Store engine</w:t>
      </w:r>
      <w:bookmarkEnd w:id="21"/>
    </w:p>
    <w:p>
      <w:r>
        <w:t>Offer a standalone searchable document repository with versioned incident evidence attachments.</w:t>
      </w:r>
    </w:p>
    <w:p>
      <w:r>
        <w:t>Dependencies: M01 M02</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Standalone repository</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 upload metadata collections tags search preview download and version history without requiring an incident.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 linking</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Upload from incident or link existing authorised files to multiple incidents. Pin immutable versions for evidence.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Safety and custody</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Quarantine scan verify hash enforce MIME and size policy and keep evidence custody history.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Access and retention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Enforce file ACL sensitivity customer visibility retention legal hold deletion and restricted export.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Search readiness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Expose authorised document passages and provenance to AI when enabled; metadata search works without AI or Qdrant.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Optional links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When incident or AI engines are absent preserve repository use and display unavailable linking or semantic features clearly.</w:t>
            </w:r>
          </w:p>
        </w:tc>
      </w:tr>
    </w:tbl>
    <w:p>
      <w:pPr>
        <w:keepNext w:val="0"/>
        <w:keepLines w:val="0"/>
        <w:pageBreakBefore w:val="0"/>
        <w:spacing w:before="0" w:after="0" w:line="20" w:lineRule="exact"/>
      </w:pPr>
    </w:p>
    <w:p>
      <w:pPr>
        <w:pStyle w:val="Heading2"/>
        <w:keepNext/>
      </w:pPr>
      <w:r>
        <w:rPr>
          <w:color w:val="000000"/>
        </w:rPr>
        <w:t>Required workflow</w:t>
      </w:r>
    </w:p>
    <w:p>
      <w:r>
        <w:t>Upload -&gt; validate and quarantine -&gt; scan -&gt; release clean version -&gt; index permitted text -&gt; search or attach -&gt; retain or delete under policy.</w:t>
      </w:r>
    </w:p>
    <w:p>
      <w:pPr>
        <w:pStyle w:val="Heading2"/>
        <w:keepNext/>
      </w:pPr>
      <w:r>
        <w:rPr>
          <w:color w:val="000000"/>
        </w:rPr>
        <w:t>Acceptance criteria</w:t>
      </w:r>
    </w:p>
    <w:p>
      <w:pPr>
        <w:pStyle w:val="ListBullet"/>
      </w:pPr>
      <w:r>
        <w:t>M03 AC1 Upload and metadata search work with incident and AI engines disabled.</w:t>
      </w:r>
    </w:p>
    <w:p>
      <w:pPr>
        <w:pStyle w:val="ListBullet"/>
      </w:pPr>
      <w:r>
        <w:t>M03 AC2 Unlinking a file does not delete its other incident references.</w:t>
      </w:r>
    </w:p>
    <w:p>
      <w:pPr>
        <w:pStyle w:val="ListBullet"/>
      </w:pPr>
      <w:r>
        <w:t>M03 AC3 Revoked files disappear from results facets snippets downloads and future AI retrieval.</w:t>
      </w:r>
    </w:p>
    <w:p>
      <w:pPr>
        <w:pStyle w:val="ListBullet"/>
      </w:pPr>
      <w:r>
        <w:t>M03 AC4 A new version cannot overwrite historical evidence.</w:t>
      </w:r>
    </w:p>
    <w:p>
      <w:pPr>
        <w:pStyle w:val="Heading2"/>
        <w:keepNext/>
      </w:pPr>
      <w:r>
        <w:rPr>
          <w:color w:val="000000"/>
        </w:rPr>
        <w:t>Suggested data responsibilities</w:t>
      </w:r>
    </w:p>
    <w:p>
      <w:r>
        <w:t>File FileVersion FileAcl IncidentFileLink UploadSession CustodyEvent RetentionPolicy and SearchProjection.</w:t>
      </w:r>
    </w:p>
    <w:p>
      <w:pPr>
        <w:pStyle w:val="Heading2"/>
        <w:keepNext/>
      </w:pPr>
      <w:r>
        <w:rPr>
          <w:color w:val="000000"/>
        </w:rPr>
        <w:t>Suggested implementation direction</w:t>
      </w:r>
    </w:p>
    <w:p>
      <w:r>
        <w:t>Use tenant scoped object storage with metadata in MongoDB and isolated extraction workers. Radzen upload and data grid components are candidates; large files should use streaming rather than large circuit messages.</w:t>
      </w:r>
    </w:p>
    <w:p>
      <w:pPr>
        <w:pStyle w:val="Heading2"/>
        <w:keepNext/>
      </w:pPr>
      <w:r>
        <w:rPr>
          <w:color w:val="000000"/>
        </w:rPr>
        <w:t>Research before development</w:t>
      </w:r>
    </w:p>
    <w:p>
      <w:r>
        <w:t>Validate storage scanning extraction OCR preview and retention capabilities licenses limits and cost. UI code is MIT; unmodified bundled Apache/OFL assets follow the declared exception and notices. Non-UI extraction and OCR packages follow SOC-D044.</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File Store is a first class tenant scoped module accessible through the main navigation and from every permitted incident. Users can upload files directly without an incident, attach new files from an incident, link an existing authorised file to one or more incidents, and find files in a dedicated searchable interface. A file has independent identity versions metadata ACL retention and custody; linking does not copy the binary or grant broader access. The same underlying service handles incident evidence and ordinary reference files with distinct evidence controls.</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UI operation</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Behaviour and permission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Standalone File Store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RadzenDataGrid server side pagination filters sort folder or collection view upload search and metadata panel; filestore.read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 Files tab</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List authorised linked files upload or link existing authorised file; incident.read plus file and link permissions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Upload</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Drag and drop or picker progress resume where supported metadata sensitivity tags category optional incident; filestore.upload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Search</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Filename description tags category incident reference uploader date MIME sensitivity and extracted text when enabled; filestore.search</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Preview and ordinary download</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Safe preview and ordinary download after scan and current file-read check; filestore.read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 history</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List versions hashes uploader timestamps and change reason; filestore.version.read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Link and unlink</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Authorised joins to incidents; unlink preserves file binary and other links; filestore.link</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Retention and hold</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Restricted lifecycle screen with audit legal hold and deletion status; filestore.retention.manage and evidence.hold</w:t>
            </w:r>
          </w:p>
        </w:tc>
      </w:tr>
    </w:tbl>
    <w:p>
      <w:pPr>
        <w:keepNext w:val="0"/>
        <w:keepLines w:val="0"/>
        <w:pageBreakBefore w:val="0"/>
        <w:spacing w:before="0" w:after="0" w:line="20" w:lineRule="exact"/>
      </w:pPr>
    </w:p>
    <w:p>
      <w:r>
        <w:t>Search defaults to filename metadata and incident references. Optional full text extraction runs in isolated bounded workers for approved types after malware scanning. Reject zip bombs password protected extraction and unsupported formats with explicit indexing state; preserve downloadable originals only if upload policy permits. OCR is a non-UI dependency under SOC-D044; any AI OCR call also requires M10/M11 policy and LocalOnly routing. An external service requires the applicable data policy. Qdrant semantic search is optional and must enforce the same ACL; exact metadata search does not depend on vector availability. Begin with MongoDB indexed metadata and supported text indexing, with an adapter for a future approved search service. Do not use unbounded case insensitive regular expression scans as the main search strategy.</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Model</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fields and invariant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tenantId title description category tags sensitivity ownerSubject acl policyVersion currentVersionId createdAt updatedAt retentionPolicyId legalHold status; index tags titleNormalized createdAt and approved text fields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file_versions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fileId versionNumber blobKey originalFilename contentType detectedMime size sha256 scanState extractionState uploadedBy createdAt immutable; unique fileId versionNumber</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incident_file_links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incidentId fileId versionId or explicit FollowCurrent policy purpose evidenceFlag createdBy createdAt; unique incident file version purpose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file_acl</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fileId subject or group action scope inheritedPolicy and deny; no access expansion through incident linking</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file_search_index</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fileId versionId textRef extractedMetadata ACL revision indexState; no plaintext restricted content in public payload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file_custody_events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fileId versionId operation actor source destination timestamp reason hash and auditReference; append only</w:t>
            </w:r>
          </w:p>
        </w:tc>
      </w:tr>
    </w:tbl>
    <w:p>
      <w:pPr>
        <w:keepNext w:val="0"/>
        <w:keepLines w:val="0"/>
        <w:pageBreakBefore w:val="0"/>
        <w:spacing w:before="0" w:after="0" w:line="20" w:lineRule="exact"/>
      </w:pPr>
    </w:p>
    <w:p>
      <w:r>
        <w:t>For evidence links pin the exact version and checksum; never follow current automatically. Reference file links may follow current only with an explicit flag shown in UI. A user needs both incident visibility and file access to open incident linked content. Standalone results are filtered to file ACL and tenant scope before response; filter counts snippets facets and autocomplete too. ACL changes immediately update authoritative metadata gating and invalidate search caches. Recheck permission before download even if a search result was previously visible. Do not deduplicate across tenants. Within tenant physical deduplication is optional and must preserve independent ACL and retention references.</w:t>
      </w:r>
    </w:p>
    <w:p>
      <w:r>
        <w:t>POST /api/v1/tenants/{t}/files/uploads</w:t>
      </w:r>
    </w:p>
    <w:p>
      <w:r>
        <w:t>{"filename":"report.pdf","size":12345,"sha256":"...",</w:t>
      </w:r>
    </w:p>
    <w:p>
      <w:r>
        <w:t xml:space="preserve"> "sensitivity":"CustomerConfidential","incidentId":null}</w:t>
      </w:r>
    </w:p>
    <w:p>
      <w:r>
        <w:t>201 {"fileId":"f1","versionId":"v1","uploadSessionId":"u1"}</w:t>
      </w:r>
    </w:p>
    <w:p>
      <w:r>
        <w:t>POST /api/v1/tenants/{t}/files/uploads/{u}/complete</w:t>
      </w:r>
    </w:p>
    <w:p>
      <w:r>
        <w:t>{"sha256":"..."}</w:t>
      </w:r>
    </w:p>
    <w:p>
      <w:r>
        <w:t>202 {"state":"QuarantinedPendingScan","operationId":"scan1"}</w:t>
      </w:r>
    </w:p>
    <w:p>
      <w:r>
        <w:t>GET /api/v1/tenants/{t}/files?query=report&amp;tag=identity&amp;cursor=...</w:t>
      </w:r>
    </w:p>
    <w:p>
      <w:r>
        <w:t>200 {"items":[],"nextCursor":null,"searchAsOfUtc":"..."}</w:t>
      </w:r>
    </w:p>
    <w:p>
      <w:r>
        <w:t>POST /api/v1/tenants/{t}/incidents/{i}/files</w:t>
      </w:r>
    </w:p>
    <w:p>
      <w:r>
        <w:t>{"fileId":"f1","versionId":"v1","purpose":"Evidence"}</w:t>
      </w:r>
    </w:p>
    <w:p>
      <w:r>
        <w:t>201 {"linkId":"l1"}</w:t>
      </w:r>
    </w:p>
    <w:p>
      <w:r>
        <w:t>GET /api/v1/tenants/{t}/files/{f}/versions/{v}/download</w:t>
      </w:r>
    </w:p>
    <w:p>
      <w:r>
        <w:t>GET /api/v1/tenants/{t}/files/{f}/versions</w:t>
      </w:r>
    </w:p>
    <w:p>
      <w:r>
        <w:t>DELETE /api/v1/tenants/{t}/incidents/{i}/files/{linkId}</w:t>
      </w:r>
    </w:p>
    <w:p>
      <w:r>
        <w:t>POST /api/v1/tenants/{t}/files/{f}/deletion-requests</w:t>
      </w:r>
    </w:p>
    <w:p>
      <w:r>
        <w:t>Evidence bytes use operator-hosted Blob containers per tenant. Defender for Storage performs asynchronous scanning with automated malware remediation disabled for evidence. Accept authenticated scan events only after correlating object version hash and scan time; writable blob tags are not an authority. Pending Error NotScanned MaliciousEvidence and Clean are distinct. Preserve malware under custody and legal hold, never preview extract index or send it to AI. Only a specifically authorised custodian can export a wrapped encrypted copy with a custody record. [V5-S05] Files outside scanner support, including blobs above the documented 50 GB limit or encrypted inputs it cannot inspect, remain NotScanned with hash and custody only. Interrupted or invalid uploads may fail without deleting previously accepted evidence. Scanner outage never becomes Clean. Verify the current storage and scan configuration during deployment. A Passthrough or MpCmdRun provider is not a production scanner in the App Service sandbox.</w:t>
      </w:r>
    </w:p>
    <w:p>
      <w:r>
        <w:t>Deletion is a workflow: validate permissions references retention and legal holds; tombstone immediately to remove from search and AI retrieval; delete eligible versions previews extracted text and vectors; record receipts and backup expiry. Legal hold prevents physical deletion and propagates to all versions and derivatives. Unlinking a file does not request deletion. Changing a reference file version cannot alter historical evidence. Restore from backup must reapply current deletion and ACL ledgers before making files searchable.</w:t>
      </w:r>
    </w:p>
    <w:p>
      <w:r>
        <w:t>Additional permission IDs: filestore.read, filestore.search, filestore.upload, filestore.metadata.update, filestore.version.read, filestore.version.create, filestore.link, filestore.unlink, filestore.delete.request, filestore.delete.approve and filestore.retention.manage. Default L1 and L2 can read search upload and link within assigned scope; ordinary preview and download follow file read; specialised malicious-evidence custody remains separate. Customer users see only explicitly customer visible files. Custodian controls holds; deletion requester cannot approve their own deletion. Platform administrator has no default file content access.</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Test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Scenario</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Acceptance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T31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Upload from incident and standalone UI then search</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Same module identities; permitted results found by name tag and incident reference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T32</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Link existing file to two incidents then unlink one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duplicate binary; remaining link and file preserved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T33</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Upload infected oversized spoofed MIME or interrupted file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MaliciousEvidence or NotScanned retains custody; malformed/interrupted uploads fail safely. No preview extraction indexing or AI; wrapped custodian export separately authorised.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T34</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User searches for restricted file and inspects counts snippets suggestions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restricted metadata content or count leak</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T35</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new version after evidence linked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Evidence remains pinned to original version and hash</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T36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Delete file under legal hold or revoke ACL during search</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Hold blocks physical deletion; revocation prevents subsequent download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T37</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Reconnect Blazor during upload approval or incident edit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duplicate action; safe upload resume or explicit restart; refresh revision</w:t>
            </w:r>
          </w:p>
        </w:tc>
      </w:tr>
    </w:tbl>
    <w:p>
      <w:pPr>
        <w:keepNext w:val="0"/>
        <w:keepLines w:val="0"/>
        <w:pageBreakBefore w:val="0"/>
        <w:spacing w:before="0" w:after="0" w:line="20" w:lineRule="exact"/>
      </w:pPr>
    </w:p>
    <w:p>
      <w:pPr>
        <w:pStyle w:val="Heading2"/>
        <w:keepNext/>
      </w:pPr>
      <w:r>
        <w:rPr>
          <w:color w:val="000000"/>
        </w:rPr>
        <w:t>M03 Evidence and optional indexing design</w:t>
      </w:r>
    </w:p>
    <w:p>
      <w:r>
        <w:t>M03 V5 1 Implement a versioned FileReference with tenant fileId versionId hash ACL revision custody and legal hold. The asynchronous scan state is authoritative in M03 and must match the exact Blob version. Malicious and unscanned evidence stays under custody; no AI or inline preview route may read it. Store authoritative file ACL scan custody and hold metadata operator-side; customer-held extracted text cannot change those controls.</w:t>
      </w:r>
    </w:p>
    <w:p>
      <w:r>
        <w:t>M03 V5 2 AI indexing is an optional M10/M11 capability invoked through ports; metadata and permitted non-AI search have no AI budget dependency. The document-engine two-cluster and per-tenant-prefix spike must pass before derived content is accepted. Deletion revokes retrieval immediately and tracks later content vector backup and hold outcomes.</w:t>
      </w:r>
    </w:p>
    <w:p>
      <w:pPr>
        <w:pStyle w:val="Heading2"/>
        <w:keepNext/>
      </w:pPr>
      <w:r>
        <w:rPr>
          <w:color w:val="000000"/>
        </w:rPr>
        <w:t>File Store and attachment behaviour</w:t>
      </w:r>
    </w:p>
    <w:p>
      <w:r>
        <w:t>FS 01  Keep a first-class searchable File Store accessible directly and through incidents, requests, changes, problems and assets. Upload new files or link existing authorised versions. Evidence links pin a version and hash; ordinary reference links may explicitly follow the current version. Linking does not broaden access or duplicate binaries.</w:t>
      </w:r>
    </w:p>
    <w:p>
      <w:r>
        <w:t>FS 02  An authenticated user who can read an eligible file can preview and download it. For ticket attachments, require access to the ticket, tenant, file and conversation visibility. Requesters can read only public attachments on their own or explicitly delegated tickets. Private-note attachments remain private even when the ticket itself is visible.</w:t>
      </w:r>
    </w:p>
    <w:p>
      <w:r>
        <w:t>FS 03  Remove Files.DownloadOriginal as a separately assignable action in this scope, along with download approvals, watermark-as-protection requirements and protected-view sessions. Route download through a backend handler that evaluates the same current file-read rules as preview. A hidden button is not an access decision.</w:t>
      </w:r>
    </w:p>
    <w:p>
      <w:r>
        <w:t>FS 04  Preserve upload, metadata, version, link/unlink, retention, legal-hold and deletion permissions. File read does not grant edit, delete, share, AI processing or bulk export. A permission migration maps existing read grants to ordinary download eligibility; former download-only exceptions must not create new file-read access.</w:t>
      </w:r>
    </w:p>
    <w:p>
      <w:pPr>
        <w:pStyle w:val="Heading3"/>
        <w:keepNext/>
      </w:pPr>
      <w:r>
        <w:rPr>
          <w:color w:val="000000"/>
        </w:rPr>
        <w:t>Read-only preview contract</w:t>
      </w:r>
    </w:p>
    <w:p>
      <w:r>
        <w:t>PDF may use a browser PDF viewer with an authorised byte stream. Images use safe derivatives; CSV uses a paged grid; text is encoded. Word, Excel and PowerPoint use server conversion or another validated read-only adapter. If preview is unsupported, show a clear message and offer download when content is eligible. Full Word/Excel editing, PDF form design and native annotation tooling are no longer committed requirements of this document.</w:t>
      </w:r>
    </w:p>
    <w:p>
      <w:r>
        <w:t>FS 05  Keep the processing adapter replaceable and vendor-neutral. MIT applies to added UI components; existing non-UI dependency policy remains in force. Do not procure or reference Syncfusion packages for this module. Standard browser download/print behaviour is acceptable; do not claim capture prevention.</w:t>
      </w:r>
    </w:p>
    <w:p>
      <w:pPr>
        <w:pStyle w:val="Heading2"/>
        <w:keepNext/>
      </w:pPr>
      <w:r>
        <w:rPr>
          <w:color w:val="000000"/>
        </w:rPr>
        <w:t>Supported documents and images</w:t>
      </w:r>
    </w:p>
    <w:p>
      <w:r>
        <w:t>Enable these baseline types after handler validation and scanning. Extensions are allowlist entries, not proof of actual content. Each type has an enabled handler, maximum byte/complexity limits, classification and searchable-content policy.</w:t>
      </w:r>
    </w:p>
    <w:tbl>
      <w:tblPr>
        <w:tblW w:type="auto" w:w="0"/>
        <w:tblLayout w:type="fixed"/>
        <w:tblLook w:firstColumn="1" w:firstRow="1" w:lastColumn="0" w:lastRow="0" w:noHBand="0" w:noVBand="1" w:val="04A0"/>
      </w:tblPr>
      <w:tblGrid>
        <w:gridCol w:w="2016"/>
        <w:gridCol w:w="2880"/>
        <w:gridCol w:w="5184"/>
      </w:tblGrid>
      <w:tr>
        <w:trPr>
          <w:tblHeader/>
          <w:cantSplit/>
          <w:tblHeader/>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Category</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Extensions</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handling</w:t>
            </w:r>
          </w:p>
        </w:tc>
      </w:tr>
      <w:tr>
        <w:trPr>
          <w:cantSplit/>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Documents</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.pdf .docx .xlsx .pptx</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PDF direct browser view; Office read-only conversion. Original download follows file read.</w:t>
            </w:r>
          </w:p>
        </w:tc>
      </w:tr>
      <w:tr>
        <w:trPr>
          <w:cantSplit/>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Delimited data</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.csv .tsv</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Bounded parsing, server paging and grid filtering. Treat cells as literal text by default.</w:t>
            </w:r>
          </w:p>
        </w:tc>
      </w:tr>
      <w:tr>
        <w:trPr>
          <w:cantSplit/>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Images</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.png .jpg .jpeg</w:t>
              <w:br/>
              <w:t>.webp .gif .bmp</w:t>
              <w:br/>
              <w:t>.tif .tiff</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Safe image preview, zoom/rotation and multipage navigation where supported. Static animation preview is sufficient.</w:t>
            </w:r>
          </w:p>
        </w:tc>
      </w:tr>
      <w:tr>
        <w:trPr>
          <w:cantSplit/>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Text and Markdown</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.txt .log .md</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Encoded paged text, search and optional sanitised Markdown. No active HTML.</w:t>
            </w:r>
          </w:p>
        </w:tc>
      </w:tr>
      <w:tr>
        <w:trPr>
          <w:cantSplit/>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Structured data</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.json .jsonl .ndjson</w:t>
              <w:br/>
              <w:t>.xml</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Bounded text/tree views. Disable XML external entities and remote schema resolution.</w:t>
            </w:r>
          </w:p>
        </w:tc>
      </w:tr>
      <w:tr>
        <w:trPr>
          <w:cantSplit/>
          <w:cantSplit/>
        </w:trPr>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Legacy and optional Office</w:t>
            </w:r>
          </w:p>
        </w:tc>
        <w:tc>
          <w:tcPr>
            <w:tcW w:type="dxa" w:w="28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.doc .xls .ppt .rtf</w:t>
              <w:br/>
              <w:t>.odt .ods .odp</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Enable only after converter tests. Unsupported preview does not prevent an eligible original download.</w:t>
            </w:r>
          </w:p>
        </w:tc>
      </w:tr>
    </w:tbl>
    <w:p>
      <w:pPr>
        <w:pStyle w:val="Heading3"/>
        <w:keepNext/>
      </w:pPr>
      <w:r>
        <w:rPr>
          <w:color w:val="000000"/>
        </w:rPr>
        <w:t>Preview and search safety</w:t>
      </w:r>
    </w:p>
    <w:p>
      <w:r>
        <w:t>Original evidence is immutable. Re-encode image derivatives without changing the stored original; restrict metadata exposure and decoding resources. Preserve encoding, delimiters and multiline CSV records. Do not evaluate formulas or auto-follow links. Derived spreadsheet-friendly exports require formula-injection testing; original CSV download remains an explicitly identified raw file [R8].</w:t>
      </w:r>
    </w:p>
    <w:p>
      <w:r>
        <w:t>OCR and semantic indexing remain optional and subject to M10/M11 policy, budgets, permitted providers and file ACLs. LocalOnly must cover all AI processing; removing download restrictions does not authorise cloud AI. Metadata and ordinary full-text search remain usable without AI.</w:t>
      </w:r>
    </w:p>
    <w:p>
      <w:r>
        <w:t>File-read checks also apply to snippets, counts, thumbnails and AI citations. Downloads remain authenticated, tenant scoped and audited. Do not place attachments under a public application static-file path.</w:t>
      </w:r>
    </w:p>
    <w:p>
      <w:pPr>
        <w:pStyle w:val="Heading2"/>
        <w:keepNext/>
      </w:pPr>
      <w:r>
        <w:rPr>
          <w:color w:val="000000"/>
        </w:rPr>
        <w:t>SOC evidence format catalogue</w:t>
      </w:r>
    </w:p>
    <w:p>
      <w:r>
        <w:t>Preserve specialist SOC file support through tenant profiles. “Supported” may mean restricted evidence storage and metadata only; it does not imply a browser parser. Malicious or unscanned evidence is not an ordinary downloadable attachment.</w:t>
      </w:r>
    </w:p>
    <w:tbl>
      <w:tblPr>
        <w:tblW w:type="auto" w:w="0"/>
        <w:tblLayout w:type="fixed"/>
        <w:tblLook w:firstColumn="1" w:firstRow="1" w:lastColumn="0" w:lastRow="0" w:noHBand="0" w:noVBand="1" w:val="04A0"/>
      </w:tblPr>
      <w:tblGrid>
        <w:gridCol w:w="1800"/>
        <w:gridCol w:w="3096"/>
        <w:gridCol w:w="5184"/>
      </w:tblGrid>
      <w:tr>
        <w:trPr>
          <w:tblHeader/>
          <w:cantSplit/>
          <w:tblHeader/>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Category</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Extensions</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Handling boundary</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Email</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.eml .msg</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Safe headers/body and attachment manifest through a validated parser; no active content or remote images.</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Web evidence</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.html .htm .mhtml</w:t>
              <w:br/>
              <w:t>.mht .har</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Encoded source or isolated snapshot. No script execution, request replay or remote loads.</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Event and trace</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.evtx .etl</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 evidence; optional isolated event-summary parser.</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Network captures</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.pcap .pcapng</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Retain evidence and metadata; specialist packet-summary adapter is separate.</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Rules and configuration</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.yar .yara .yml .yaml</w:t>
              <w:br/>
              <w:t>.sigma .kql .sql</w:t>
              <w:br/>
              <w:t>.conf .cfg .ini .rules .reg</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Encoded source only. No rule execution, registry import or query execution.</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Threat intelligence</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.stix .stix2 .json</w:t>
              <w:br/>
              <w:t>.xml .ioc</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Versioned parser or text. Import into a trusted engine requires a separate action.</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Archives</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.zip .7z .tar .gz .tgz</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Isolated bounded manifest/extraction; reject traversal and expansion bombs.</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Memory and disk</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.dmp .mem .raw .img</w:t>
              <w:br/>
              <w:t>.dd .e01 .vhd .vhdx</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Specialist storage with hashes and acquisition metadata; no automatic mount.</w:t>
            </w:r>
          </w:p>
        </w:tc>
      </w:tr>
      <w:tr>
        <w:trPr>
          <w:cantSplit/>
          <w:cantSplit/>
        </w:trPr>
        <w:tc>
          <w:tcPr>
            <w:tcW w:type="dxa" w:w="180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Recordings</w:t>
            </w:r>
          </w:p>
        </w:tc>
        <w:tc>
          <w:tcPr>
            <w:tcW w:type="dxa" w:w="30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.wav .mp3 .m4a</w:t>
              <w:br/>
              <w:t>.mp4 .webm</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Optional profile with safe playback derivatives and retention controls.</w:t>
            </w:r>
          </w:p>
        </w:tc>
      </w:tr>
    </w:tbl>
    <w:p>
      <w:pPr>
        <w:spacing w:before="100"/>
      </w:pPr>
      <w:r>
        <w:t>Executables, scripts, macro-enabled Office files, encrypted archives and secret bundles are disabled in normal intake. A separately authorised evidence-custody path may retain suspicious or malicious content without preview, AI use or ordinary download. This is an evidence safety control, not the removed download-approval feature.</w:t>
      </w:r>
    </w:p>
    <w:p>
      <w:r>
        <w:t>Attachments extracted from email or archives receive their own type validation, scan state, parent provenance and inherited visibility. Preserve hashes, exact source bytes, collector/source identity, acquisition time and legal holds.</w:t>
      </w:r>
    </w:p>
    <w:p>
      <w:pPr>
        <w:pStyle w:val="Heading2"/>
        <w:keepNext/>
      </w:pPr>
      <w:r>
        <w:rPr>
          <w:color w:val="000000"/>
        </w:rPr>
        <w:t>File lifecycle and replacement of earlier controls</w:t>
      </w:r>
    </w:p>
    <w:p>
      <w:r>
        <w:t>FS 06  Upload into quarantine; verify detected content type, filename, size and hash; scan asynchronously; then enable eligible preview, download and indexing. Pending, Error, NotScanned, MaliciousEvidence and Clean remain distinct. A scanner outage cannot make a file Clean. Correlate verdicts with the exact object version and hash.</w:t>
      </w:r>
    </w:p>
    <w:p>
      <w:r>
        <w:t>FS 07  Keep operator-hosted Blob containers per tenant and operator-held file ACL/custody/scan authority from v5. Customer-side document-engine content databases hold derived extraction; they cannot override access. AI vectors keep tenant/model prefixes. Do not change storage placement to a new default as part of this update.</w:t>
      </w:r>
    </w:p>
    <w:p>
      <w:r>
        <w:t>FS 08  Retention, holds, version history, unlinking and deletion remain independent. Tombstone an eligible deletion from retrieval, then record derivative/vector cleanup and backup expiry. Restore must reapply current ACLs and deletion ledgers before reopening search.</w:t>
      </w:r>
    </w:p>
    <w:p>
      <w:pPr>
        <w:pStyle w:val="Heading3"/>
        <w:keepNext/>
      </w:pPr>
      <w:r>
        <w:rPr>
          <w:color w:val="000000"/>
        </w:rPr>
        <w:t>Remove from the current implementation backlog</w:t>
      </w:r>
    </w:p>
    <w:p>
      <w:r>
        <w:t>Remove Syncfusion licence procurement and document/editor packages; interactive editor permissions; protected preview session infrastructure solely intended to withhold originals; download request/approval endpoints; download-grant entities; and restrictions intended to stop ordinary printing or copying. Remove equivalent toolbar logic and acceptance cases.</w:t>
      </w:r>
    </w:p>
    <w:p>
      <w:pPr>
        <w:pStyle w:val="Heading3"/>
        <w:keepNext/>
      </w:pPr>
      <w:r>
        <w:rPr>
          <w:color w:val="000000"/>
        </w:rPr>
        <w:t>Keep and revise</w:t>
      </w:r>
    </w:p>
    <w:p>
      <w:r>
        <w:t>Keep private storage, normal preview/streaming APIs, malware controls, version conflicts for metadata or file revisions, audit, accessibility, search isolation and resource limits. Rename the prior separate-download tests to file-read authorisation tests: authorised reader succeeds; denied reader and cross-tenant caller fail.</w:t>
      </w:r>
    </w:p>
    <w:p>
      <w:r>
        <w:t>FS 09  Clean attachments may download even if conversion fails. Quarantined, unscanned or malicious content must not gain access through this fallback. A requester upload has default public-ticket visibility only after acceptance by the intake policy; internal analyst uploads can explicitly be public or private.</w:t>
      </w:r>
    </w:p>
    <w:p>
      <w:r>
        <w:t>All ordinary attachment entry points use this current file-read and download contract. The ITSM chapters integrate requester and mailbox attachment flows.</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Standalone repository</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 upload metadata collections tags search preview download and version history without requiring an incident.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M03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 linking</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Upload from incident or link existing authorised files to multiple incidents. Pin immutable versions for evidence.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Safety and custody</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Quarantine scan verify hash enforce MIME and size policy and keep evidence custody history.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M03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Access and retention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Enforce file ACL sensitivity customer visibility retention legal hold deletion and restricted export.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Search readiness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Expose authorised document passages and provenance to AI when enabled; metadata search works without AI or Qdrant.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M03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Optional links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When incident or AI engines are absent preserve repository use and display unavailable linking or semantic features clearly.</w:t>
            </w:r>
          </w:p>
        </w:tc>
      </w:tr>
    </w:tbl>
    <w:p>
      <w:bookmarkStart w:id="22" w:name="orca_ch_022"/>
      <w:pPr>
        <w:pStyle w:val="Tenant_Heading1"/>
      </w:pPr>
      <w:r>
        <w:t>M03 File Store settings</w:t>
      </w:r>
      <w:bookmarkEnd w:id="22"/>
    </w:p>
    <w:p>
      <w:r>
        <w:t>ECFG M03 | Required dependencies: M01 M02; M10/M11 only for AI-derived processing.</w:t>
      </w:r>
    </w:p>
    <w:p>
      <w:r>
        <w:t>Permission boundary: filestore.read/upload/link/hold and registered administration grants; ordinary download follows eligible read.</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fileProfileRefs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Permitted extensions, content signatures and evidence profiles; reject unsupported or mismatched types.</w:t>
            </w:r>
          </w:p>
        </w:tc>
      </w:tr>
      <w:tr>
        <w:trPr>
          <w:cantSplit/>
        </w:trPr>
        <w:tc>
          <w:tcPr>
            <w:tcW w:type="dxa" w:w="2448"/>
          </w:tcPr>
          <w:p>
            <w:pPr>
              <w:spacing w:after="60" w:before="40" w:line="240" w:lineRule="auto"/>
            </w:pPr>
            <w:r>
              <w:rPr>
                <w:sz w:val="18"/>
              </w:rPr>
              <w:t>maxUploadBytes</w:t>
            </w:r>
          </w:p>
        </w:tc>
        <w:tc>
          <w:tcPr>
            <w:tcW w:type="dxa" w:w="2016"/>
          </w:tcPr>
          <w:p>
            <w:pPr>
              <w:spacing w:after="60" w:before="40" w:line="240" w:lineRule="auto"/>
            </w:pPr>
            <w:r>
              <w:rPr>
                <w:sz w:val="18"/>
              </w:rPr>
              <w:t>int64; inherit</w:t>
            </w:r>
          </w:p>
        </w:tc>
        <w:tc>
          <w:tcPr>
            <w:tcW w:type="dxa" w:w="5400"/>
          </w:tcPr>
          <w:p>
            <w:pPr>
              <w:spacing w:after="60" w:before="40" w:line="240" w:lineRule="auto"/>
            </w:pPr>
            <w:r>
              <w:rPr>
                <w:sz w:val="18"/>
              </w:rPr>
              <w:t>Positive and within platform/profile ceiling; stream bytes outside Blazor circuit messages.</w:t>
            </w:r>
          </w:p>
        </w:tc>
      </w:tr>
      <w:tr>
        <w:trPr>
          <w:cantSplit/>
        </w:trPr>
        <w:tc>
          <w:tcPr>
            <w:tcW w:type="dxa" w:w="2448"/>
          </w:tcPr>
          <w:p>
            <w:pPr>
              <w:spacing w:after="60" w:before="40" w:line="240" w:lineRule="auto"/>
            </w:pPr>
            <w:r>
              <w:rPr>
                <w:sz w:val="18"/>
              </w:rPr>
              <w:t>retentionPolicyRef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Preserve holds and custody; retention changes do not silently purge originals or histories.</w:t>
            </w:r>
          </w:p>
        </w:tc>
      </w:tr>
      <w:tr>
        <w:trPr>
          <w:cantSplit/>
        </w:trPr>
        <w:tc>
          <w:tcPr>
            <w:tcW w:type="dxa" w:w="2448"/>
          </w:tcPr>
          <w:p>
            <w:pPr>
              <w:spacing w:after="60" w:before="40" w:line="240" w:lineRule="auto"/>
            </w:pPr>
            <w:r>
              <w:rPr>
                <w:sz w:val="18"/>
              </w:rPr>
              <w:t>scanPolicyRef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Authenticated verdict correlation to object version/hash/time; unsafe or pending content is not previewed/indexed.</w:t>
            </w:r>
          </w:p>
        </w:tc>
      </w:tr>
      <w:tr>
        <w:trPr>
          <w:cantSplit/>
        </w:trPr>
        <w:tc>
          <w:tcPr>
            <w:tcW w:type="dxa" w:w="2448"/>
          </w:tcPr>
          <w:p>
            <w:pPr>
              <w:spacing w:after="60" w:before="40" w:line="240" w:lineRule="auto"/>
            </w:pPr>
            <w:r>
              <w:rPr>
                <w:sz w:val="18"/>
              </w:rPr>
              <w:t>previewProfileRefs</w:t>
            </w:r>
          </w:p>
        </w:tc>
        <w:tc>
          <w:tcPr>
            <w:tcW w:type="dxa" w:w="2016"/>
          </w:tcPr>
          <w:p>
            <w:pPr>
              <w:spacing w:after="60" w:before="40" w:line="240" w:lineRule="auto"/>
            </w:pPr>
            <w:r>
              <w:rPr>
                <w:sz w:val="18"/>
              </w:rPr>
              <w:t>Ref[]; inherit</w:t>
            </w:r>
          </w:p>
        </w:tc>
        <w:tc>
          <w:tcPr>
            <w:tcW w:type="dxa" w:w="5400"/>
          </w:tcPr>
          <w:p>
            <w:pPr>
              <w:spacing w:after="60" w:before="40" w:line="240" w:lineRule="auto"/>
            </w:pPr>
            <w:r>
              <w:rPr>
                <w:sz w:val="18"/>
              </w:rPr>
              <w:t>Only clean eligible formats; unsupported preview may offer an eligible ordinary download.</w:t>
            </w:r>
          </w:p>
        </w:tc>
      </w:tr>
      <w:tr>
        <w:trPr>
          <w:cantSplit/>
        </w:trPr>
        <w:tc>
          <w:tcPr>
            <w:tcW w:type="dxa" w:w="2448"/>
          </w:tcPr>
          <w:p>
            <w:pPr>
              <w:spacing w:after="60" w:before="40" w:line="240" w:lineRule="auto"/>
            </w:pPr>
            <w:r>
              <w:rPr>
                <w:sz w:val="18"/>
              </w:rPr>
              <w:t>fullTextEnabled</w:t>
            </w:r>
          </w:p>
        </w:tc>
        <w:tc>
          <w:tcPr>
            <w:tcW w:type="dxa" w:w="2016"/>
          </w:tcPr>
          <w:p>
            <w:pPr>
              <w:spacing w:after="60" w:before="40" w:line="240" w:lineRule="auto"/>
            </w:pPr>
            <w:r>
              <w:rPr>
                <w:sz w:val="18"/>
              </w:rPr>
              <w:t>bool; inherit approved policy</w:t>
            </w:r>
          </w:p>
        </w:tc>
        <w:tc>
          <w:tcPr>
            <w:tcW w:type="dxa" w:w="5400"/>
          </w:tcPr>
          <w:p>
            <w:pPr>
              <w:spacing w:after="60" w:before="40" w:line="240" w:lineRule="auto"/>
            </w:pPr>
            <w:r>
              <w:rPr>
                <w:sz w:val="18"/>
              </w:rPr>
              <w:t>Bounded extraction only after scanning; metadata search remains independent of semantic/AI availability.</w:t>
            </w:r>
          </w:p>
        </w:tc>
      </w:tr>
      <w:tr>
        <w:trPr>
          <w:cantSplit/>
        </w:trPr>
        <w:tc>
          <w:tcPr>
            <w:tcW w:type="dxa" w:w="2448"/>
          </w:tcPr>
          <w:p>
            <w:pPr>
              <w:spacing w:after="60" w:before="40" w:line="240" w:lineRule="auto"/>
            </w:pPr>
            <w:r>
              <w:rPr>
                <w:sz w:val="18"/>
              </w:rPr>
              <w:t>aiIndexingEnabled</w:t>
            </w:r>
          </w:p>
        </w:tc>
        <w:tc>
          <w:tcPr>
            <w:tcW w:type="dxa" w:w="2016"/>
          </w:tcPr>
          <w:p>
            <w:pPr>
              <w:spacing w:after="60" w:before="40" w:line="240" w:lineRule="auto"/>
            </w:pPr>
            <w:r>
              <w:rPr>
                <w:sz w:val="18"/>
              </w:rPr>
              <w:t>bool; Off</w:t>
            </w:r>
          </w:p>
        </w:tc>
        <w:tc>
          <w:tcPr>
            <w:tcW w:type="dxa" w:w="5400"/>
          </w:tcPr>
          <w:p>
            <w:pPr>
              <w:spacing w:after="60" w:before="40" w:line="240" w:lineRule="auto"/>
            </w:pPr>
            <w:r>
              <w:rPr>
                <w:sz w:val="18"/>
              </w:rPr>
              <w:t>Requires M10/M11 and current ACL, LocalOnly/provider and reservation checks for every AI call.</w:t>
            </w:r>
          </w:p>
        </w:tc>
      </w:tr>
      <w:tr>
        <w:trPr>
          <w:cantSplit/>
        </w:trPr>
        <w:tc>
          <w:tcPr>
            <w:tcW w:type="dxa" w:w="2448"/>
          </w:tcPr>
          <w:p>
            <w:pPr>
              <w:spacing w:after="60" w:before="40" w:line="240" w:lineRule="auto"/>
            </w:pPr>
            <w:r>
              <w:rPr>
                <w:sz w:val="18"/>
              </w:rPr>
              <w:t>evidenceCustodyPolicyRef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Immutable versions/hashes, legal holds and separately authorised wrapped malicious-evidence export.</w:t>
            </w:r>
          </w:p>
        </w:tc>
      </w:tr>
    </w:tbl>
    <w:p>
      <w:pPr>
        <w:pStyle w:val="Tenant_Heading2"/>
      </w:pPr>
      <w:r>
        <w:t>Lifecycle and integration</w:t>
      </w:r>
    </w:p>
    <w:p>
      <w:r>
        <w:t>Off removes ordinary File Store access/jobs, retaining bytes, metadata and checkpoints. Independent foundation custody, hold enforcement and safety obligations continue under registered authority.</w:t>
      </w:r>
    </w:p>
    <w:p>
      <w:pPr>
        <w:pStyle w:val="Tenant_Heading2"/>
      </w:pPr>
      <w:r>
        <w:t>Engine acceptance scenario</w:t>
      </w:r>
    </w:p>
    <w:p>
      <w:r>
        <w:t>ECFG M03 AC: Verify read/download equivalence, no separate ordinary approval, M03 without AI, quarantine denial, cross-tenant dedup isolation and hold preservation after Off.</w:t>
      </w:r>
    </w:p>
    <w:p>
      <w:r>
        <w:t>All common TSET/NAV gates apply. Values and references are server-validated in the selected tenant; generic settings edits never replace the owning engine’s publication or approval workflow.</w:t>
      </w:r>
    </w:p>
    <w:p>
      <w:bookmarkStart w:id="23" w:name="orca_ch_023"/>
      <w:pPr>
        <w:pStyle w:val="Heading1"/>
        <w:keepNext/>
        <w:pageBreakBefore/>
      </w:pPr>
      <w:r>
        <w:rPr>
          <w:color w:val="000000"/>
        </w:rPr>
        <w:t>M04 Unified security incident engine</w:t>
      </w:r>
      <w:bookmarkEnd w:id="23"/>
    </w:p>
    <w:p>
      <w:r>
        <w:t>Provide one portal and canonical incident queue for all authorised sources with NIST aligned handling.</w:t>
      </w:r>
    </w:p>
    <w:p>
      <w:r>
        <w:t>Dependencies: M01 M02; at least one feed or manual entry</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queue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Combine multiple source engines customer tenants workspaces and products under scoped filters consistent lifecycle and a common workbench.</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Canonical identity</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Maintain source links provider identities and source payload provenance; correlate mirrored incidents without title based automatic merges.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lifecycle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triage investigate respond recover review close and reopen incidents with required evidence classification and audit.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Bidirectional updates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Synchronise supported status severity assignment classification comments and closure fields with explicit ownership conflict handling and source receipts.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Visibility</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Separate internal customer visible and published source comments. Show source status sync lag conflicts and unsupported mutations.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Optional capabilities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Run manual investigations before AI routing response File Store or asset engines are released; enable their panels only when available.</w:t>
            </w:r>
          </w:p>
        </w:tc>
      </w:tr>
    </w:tbl>
    <w:p>
      <w:pPr>
        <w:keepNext w:val="0"/>
        <w:keepLines w:val="0"/>
        <w:pageBreakBefore w:val="0"/>
        <w:spacing w:before="0" w:after="0" w:line="20" w:lineRule="exact"/>
      </w:pPr>
    </w:p>
    <w:p>
      <w:pPr>
        <w:pStyle w:val="Heading2"/>
        <w:keepNext/>
      </w:pPr>
      <w:r>
        <w:rPr>
          <w:color w:val="000000"/>
        </w:rPr>
        <w:t>Required workflow</w:t>
      </w:r>
    </w:p>
    <w:p>
      <w:r>
        <w:t>Source or manual report -&gt; normalise deduplicate -&gt; triage -&gt; assign -&gt; investigate -&gt; respond -&gt; recover -&gt; reviewed closure -&gt; lessons and reopen if required.</w:t>
      </w:r>
    </w:p>
    <w:p>
      <w:pPr>
        <w:pStyle w:val="Heading2"/>
        <w:keepNext/>
      </w:pPr>
      <w:r>
        <w:rPr>
          <w:color w:val="000000"/>
        </w:rPr>
        <w:t>Acceptance criteria</w:t>
      </w:r>
    </w:p>
    <w:p>
      <w:pPr>
        <w:pStyle w:val="ListBullet"/>
      </w:pPr>
      <w:r>
        <w:t>M04 AC1 One upstream incident mirrored through Sentinel and Defender has one canonical record with preserved links.</w:t>
      </w:r>
    </w:p>
    <w:p>
      <w:pPr>
        <w:pStyle w:val="ListBullet"/>
      </w:pPr>
      <w:r>
        <w:t>M04 AC2 Conflicting concurrent edits are visible and never silently lost.</w:t>
      </w:r>
    </w:p>
    <w:p>
      <w:pPr>
        <w:pStyle w:val="ListBullet"/>
      </w:pPr>
      <w:r>
        <w:t>M04 AC3 Source API failure is not shown as synchronisation success.</w:t>
      </w:r>
    </w:p>
    <w:p>
      <w:pPr>
        <w:pStyle w:val="ListBullet"/>
      </w:pPr>
      <w:r>
        <w:t>M04 AC4 The queue remains usable when one source engine is unavailable.</w:t>
      </w:r>
    </w:p>
    <w:p>
      <w:pPr>
        <w:pStyle w:val="Heading2"/>
        <w:keepNext/>
      </w:pPr>
      <w:r>
        <w:rPr>
          <w:color w:val="000000"/>
        </w:rPr>
        <w:t>Suggested data responsibilities</w:t>
      </w:r>
    </w:p>
    <w:p>
      <w:r>
        <w:t>Incident SourceLink SourceSnapshot Alert EntityReference TimelineComment SyncReceipt Conflict Inbox and Outbox.</w:t>
      </w:r>
    </w:p>
    <w:p>
      <w:pPr>
        <w:pStyle w:val="Heading2"/>
        <w:keepNext/>
      </w:pPr>
      <w:r>
        <w:rPr>
          <w:color w:val="000000"/>
        </w:rPr>
        <w:t>Suggested implementation direction</w:t>
      </w:r>
    </w:p>
    <w:p>
      <w:r>
        <w:t>Use one common internal incident provider contract and a canonical lifecycle; maintain provider specific mappings behind source engines. Durable inbox outbox and conditional revisions are reference design options.</w:t>
      </w:r>
    </w:p>
    <w:p>
      <w:pPr>
        <w:pStyle w:val="Heading2"/>
        <w:keepNext/>
      </w:pPr>
      <w:r>
        <w:rPr>
          <w:color w:val="000000"/>
        </w:rPr>
        <w:t>Research before development</w:t>
      </w:r>
    </w:p>
    <w:p>
      <w:r>
        <w:t>Validate field writeability propagation delays comment semantics external closure and workspace topology in each customer environment. NIST alignment remains a product requirement; exact state names are configurable design choices.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pPr>
        <w:pStyle w:val="Heading3"/>
        <w:keepNext/>
      </w:pPr>
      <w:r>
        <w:rPr>
          <w:color w:val="000000"/>
        </w:rPr>
        <w:t>Canonical identity and duplicate prevention</w:t>
      </w:r>
    </w:p>
    <w:p>
      <w:r>
        <w:t>Maintain one canonical incident with many source links keyed by tenantId, connectorInstanceId, sourceKind and sourceId. Unique index prevents duplicate links. XDR and Sentinel links are correlated using verified provider incident identifiers, URLs and alert identifiers before any heuristic. Similar title or overlapping user alone never automatically merges incidents. Candidate correlations without deterministic provenance enter analyst review. Preserve merged source aliases and redirect old canonical IDs; merges are audited and reversible at the link level.</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Canonical field</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Inbound and outbound rule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Conflict behaviour</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Status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Graph active inProgress resolved awaitingAction redirected and unknown values; Sentinel New Active Closed; preserve raw enum.</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redirected aliases redirectIncidentId; not resolution. awaitingAction remains provider-owned. Resolution still passes local closure gates.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Severity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Map source info low medium high; canonical critical remains local priority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Authorised override reason and expiry; retain source severity separately</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Classification and determination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Explicit per source enum maps; unmappable value remains local</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Reject lossy outbound translation rather than guess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Assignee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Canonical immutable principal ID; XDR assignedTo string; Sentinel owner identifiers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Graph assignedTo text; Sentinel owner may be Group. Export only mappings supported by the selected route.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Title and description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Source owned initial facts; local summary separately owned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Local source field edits only if source API documents write support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Append only; explicit internal customer or source visibility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Append-only publication; internal notes never exported. Azure comment edits do not sync to Defender; receipt dedup and reconciliation required.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Tags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Separate source managed and local namespaces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Union only approved namespaces; do not remove remote tags blindly</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Closure and resolution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Approved resolution classification and summary exported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Remote confirmation tracked per link; failed link means SyncPending</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Evidence and alert entities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Source authoritative immutable observations plus local enrichment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Never overwrite original evidence; corrections append revisions</w:t>
            </w:r>
          </w:p>
        </w:tc>
      </w:tr>
    </w:tbl>
    <w:p>
      <w:pPr>
        <w:keepNext w:val="0"/>
        <w:keepLines w:val="0"/>
        <w:pageBreakBefore w:val="0"/>
        <w:spacing w:before="0" w:after="0" w:line="20" w:lineRule="exact"/>
      </w:pPr>
    </w:p>
    <w:p>
      <w:r>
        <w:t>Full bidirectional means every supported incident mutation in either system is observed and reconciled, including remote reopen and reassignment. Unsupported operations remain visible local state with an explicit unsupported result. Creating an AI SOC ticket from an alert is always supported locally; creating a new XDR incident is not assumed. Optional Sentinel incident creation uses a deterministic GUID and stores its source link. When XDR and Sentinel already synchronise, configure one outbound authority per field and connected source group to avoid two independent writers.</w:t>
      </w:r>
    </w:p>
    <w:p>
      <w:pPr>
        <w:pStyle w:val="Heading3"/>
        <w:keepNext/>
      </w:pPr>
      <w:r>
        <w:rPr>
          <w:color w:val="000000"/>
        </w:rPr>
        <w:t>Merge and delivery algorithm</w:t>
      </w:r>
    </w:p>
    <w:p>
      <w:r>
        <w:t>on source envelope E:</w:t>
      </w:r>
    </w:p>
    <w:p>
      <w:r>
        <w:t xml:space="preserve">  validate identity bound to tenant and connector; enforce schema and size</w:t>
      </w:r>
    </w:p>
    <w:p>
      <w:r>
        <w:t xml:space="preserve">  record operator Intent; begin customer-store transaction with operation proof</w:t>
      </w:r>
    </w:p>
    <w:p>
      <w:r>
        <w:t xml:space="preserve">    if inbox(E.tenantId, E.connectorInstanceId, E.eventId) exists: return prior acknowledgement</w:t>
      </w:r>
    </w:p>
    <w:p>
      <w:r>
        <w:t xml:space="preserve">    resolve unique source link; read source snapshot and canonical revision</w:t>
      </w:r>
    </w:p>
    <w:p>
      <w:r>
        <w:t xml:space="preserve">    diff = compare(E.payload, lastAcceptedSourceSnapshot)</w:t>
      </w:r>
    </w:p>
    <w:p>
      <w:r>
        <w:t xml:space="preserve">    for changed field: apply owner rule and 3 way merge(base, local, remote)</w:t>
      </w:r>
    </w:p>
    <w:p>
      <w:r>
        <w:t xml:space="preserve">    if both changed incompatibly: record conflict and retain both versions</w:t>
      </w:r>
    </w:p>
    <w:p>
      <w:r>
        <w:t xml:space="preserve">    persist incident + scoped inbox + held domain event and customer operation proof</w:t>
      </w:r>
    </w:p>
    <w:p>
      <w:r>
        <w:t xml:space="preserve">  commit; verify proof; write operator Outcome; acknowledge and release event only after durable confirmation</w:t>
      </w:r>
    </w:p>
    <w:p>
      <w:r>
        <w:t>outbound dispatcher:</w:t>
      </w:r>
    </w:p>
    <w:p>
      <w:r>
        <w:t xml:space="preserve">  lease next outbox item ordered by source link and canonical revision</w:t>
      </w:r>
    </w:p>
    <w:p>
      <w:r>
        <w:t xml:space="preserve">  recheck tenant active, UAM or service policy, current connector capability</w:t>
      </w:r>
    </w:p>
    <w:p>
      <w:r>
        <w:t xml:space="preserve">  fetch remote current version; preserve remote fields outside owned patch</w:t>
      </w:r>
    </w:p>
    <w:p>
      <w:r>
        <w:t xml:space="preserve">  apply supported patch; verify by read back; persist mapping and receipt</w:t>
      </w:r>
    </w:p>
    <w:p>
      <w:r>
        <w:t xml:space="preserve">  if timeout: mark UnknownOutcome and read back before retrying mutation</w:t>
      </w:r>
    </w:p>
    <w:p>
      <w:r>
        <w:t>Three way merge: if local equals base, accept remote; if remote equals base, keep local; if local equals remote, advance base; otherwise use declared field owner or queue conflict. Lifecycle closing and response commands never use timestamp last writer wins. Preserve source timestamps plus receivedAtUtc and monotonic local revision; clock skew does not establish authority. Serialize writes per source link. For providers without atomic conditional writes, a preflight read reduces but cannot eliminate the race: detect post write divergence and open a conflict rather than promise strict compare and swap.</w:t>
      </w:r>
    </w:p>
    <w:p>
      <w:r>
        <w:t>Transactions are local to their MongoDB client and cluster. Customer data mutation inbox and held event commit locally; operator Intent and Outcome govern durable acceptance and outward dispatch. Production requires majority durability and transactions without fallback. Ordered outbox heads prevent later source revisions overtaking unresolved earlier writes. Service Bus is optional and not required for correctness; the initial transport is the pending V5-D04 design.</w:t>
      </w:r>
    </w:p>
    <w:p>
      <w:r>
        <w:t>Poll a proposed 60 second interval with configurable overlap, stable ordering where supported and paging through nextLink exactly. Persist checkpoint only when all pages are durably accepted. Query supported last update fields, periodically re-read open incidents and recent closed incidents, and run full reconciliation within source retention limits. On checkpoint loss restart bounded snapshot and deduplicate. Track gaps beyond source retention as unrecoverable evidence gaps requiring investigation.</w:t>
      </w:r>
    </w:p>
    <w:p>
      <w:r>
        <w:t>429 honours Retry-After; retry transient 408 429 and 5xx with full jitter and maximum elapsed budget. Refresh expired credentials once; 403 disables affected capability and alerts administrator; 404 triggers alias or deletion reconciliation, not immediate incident deletion. After proposed eight transient attempts, DLQ with redacted payload reference and replay permission. Queue replay retains original event ID. Manual replay cannot bypass tenant suspension or closed action approvals.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NIST SP 800-61 Revision 3 is the current incident response profile of CSF 2.0 [S05]. Govern Identify and Protect establish readiness; Detect Respond and Recover drive incident handling, with continuous improvement across the lifecycle. The following operational states implement that alignment; NIST does not prescribe these exact ticket states or SLA timings.</w:t>
      </w:r>
    </w:p>
    <w:p>
      <w:r>
        <w:t>The normative transition sequence is Detected to Triaged to Investigating to Responding to Recovering to ResolvedPendingReview to Closed. False positive and benign classifications can move from Triaged or Investigating to ResolvedPendingReview with an authorised reason. PendingApproval is a task state, not a replacement incident lifecycle state. OnHold is an orthogonal flag with reason and review deadline. Reopen moves Closed to Investigating with a new response episode and preserved history.</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CSF function</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implementation</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Evidence and gate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Govern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policy risk appetite ownership decision authority communication requirements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Versioned policy approvers exceptions and service agreements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Identify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Asset identity dependency criticality threat context; ID.IM continuous improvement across all functions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Affected entities owner and business impact; lessons and corrective actions with owners and due dates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Protect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Readiness playbooks skills least privilege backups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Approved playbook training and access review</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Detect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Receive validate enrich assess and declare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Source references timeline detection confidence and triage reason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Respond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Analyse scope prioritise communicate contain eradicate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Approved actions results custody decision trail</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Recover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Validate restored integrity monitor recurrence communicate recovery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Service owner sign off health checks rollback and residual risk</w:t>
            </w:r>
          </w:p>
        </w:tc>
      </w:tr>
    </w:tbl>
    <w:p>
      <w:pPr>
        <w:keepNext w:val="0"/>
        <w:keepLines w:val="0"/>
        <w:pageBreakBefore w:val="0"/>
        <w:spacing w:before="0" w:after="0" w:line="20" w:lineRule="exact"/>
      </w:pPr>
    </w:p>
    <w:p>
      <w:r>
        <w:t>Creation requires source provenance or a manually supplied reason, tenant, detected time, summary and severity. Triage records incident type, affected assets, impact, confidence, priority, assigned team and acknowledgement. Investigation stores hypotheses separately from verified facts. Containment and eradication require approved tasks with verification evidence. Recovery requires asset owner validation and monitoring interval. Closure requires resolution taxonomy, summary, impact, completed or formally accepted outstanding tasks, evidence references, communication record, reviewer authority and source sync state. Source API failure can allow local Closed with SyncPending only under a documented tenant exception; otherwise closure remains pending. Regulatory notifications are tracked with owner and due date, never inferred legal deadlines.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MongoDB Atlas is preferred for both customer-provided and operator-managed clusters. The default is a customer-provided cluster per tenant. Each customer provides the named operational database and a separate content database for the document engine, with tenant-specific credentials and exact database grants. Sharing a customer cluster is limited to that customer and its sister entities, each with separate databases and credentials. The application validates endpoint allowlists TLS credentials database names marker records and observed cluster identity; it never assumes network access or provisions a customer cluster automatically. Keep an operator-held database per tenant for audit immutable approvals commands internal notes AI usage and traces jobs notification receipts and other execution authority. The customer administrator is outside that trust boundary. The control database contains sensitive registry identity matrix and source-route metadata with encryption and narrowly scoped access; it is not a public or nonsensitive-only database. Store secrets in Key Vault and registry references only. Customer-stored facts and engine decisions are advisory inputs, never executable authorisation.</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Owner and logical model</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model fields</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Indexes and invariants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UUID tenantId schemaVersion revision title lifecycle severity priority classification determination assignee team sourceLinks timestamps sensitivity closure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Unique id; lifecycle priority updatedAt; team assignee state; optimistic revision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source_links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connectorId sourceKind sourceId canonicalId sourceVersion rawStatus snapshotHash lastSeenUtc</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Unique connectorId sourceKind sourceId; canonicalId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alerts_entities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sourceKey type immutable facts entityRefs incidentIds observedAt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Unique source key; incidentIds; type valueHash</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timeline_comments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incidentId actor visibility text sourceCommentLinks aiRunId createdAt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Customer-visible timeline by incident/time/id; immutable append. Internal-only notes use the protected operator store owner port.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inbox</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eventId connectorId payloadHash receivedAt processingState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Unique eventId plus connectorId; retention exceeds replay horizon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Foundation held events / M04</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aggregateId revision target payloadRef state attempt nextAttempt leaseUntil</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Local event ordering per aggregate and target; customer held events release only after operator Outcome. Command outbox stays operator-held.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conflicts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sourceLink field base local remote state resolver decisionRevision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Open conflicts by incident; closure sensitive conflicts block export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 / TenantOperator</w:t>
              <w:br/>
              <w:t>response_tasks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incidentId actionType target parametersHash risk policyVersion state approvalIds commandId providerActionId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Unique commandId; incidentId state; no parameter edits after approval;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Foundation / TenantOperator</w:t>
              <w:br/>
              <w:t>approvals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taskId taskHash requester approver decision expiresAt policyVersion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Unique approver taskHash decision generation; append audit;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M09 / TenantCustomer</w:t>
              <w:br/>
              <w:t>teams_resources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teamId member oid issuer skills capacity primary backup eligibility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Member identity compound unique; active team scope;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M09 / TenantCustomer</w:t>
              <w:br/>
              <w:t>shifts_assignments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shiftId timeZone localRule utcOccurrences resourceId leave handover assignmentLease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resourceId startUtc endUtc; no ambiguous DST occurrence;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 / TenantOperator</w:t>
              <w:br/>
              <w:t>ai_runs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incidentId model provider promptHash retrievalRefs tokens redaction policy output review</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incidentId createdAt; no raw secrets; immutable provenance;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 / operator Blob and metadata</w:t>
              <w:br/>
              <w:t>file_versions and custody; M04 references only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 incidentId blobRef sha256 size mime sensitivity custody hold scanState retention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sha256 for verification not global sharing; incidentId;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Foundation / TenantOperator</w:t>
              <w:br/>
              <w:t>audit_events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actor action resource decision beforeHash afterHash traceId timestamp prevHash</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Append only local stream; immutable external export;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Owning source engine / TenantOperator</w:t>
              <w:br/>
              <w:t>connector_state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connectorId configVersion capabilityVersion checkpoint health lastSuccess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Unique connectorId; no secret plaintext; owner port only, not an M04 collection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 AI indexing / TenantOperator</w:t>
              <w:br/>
              <w:t>knowledge_jobs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 documentId sourceAcl version embeddingModel state deletionStatus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Unique document version embeddingModel; resumable indexing; owner port only, not an M04 collection</w:t>
            </w:r>
          </w:p>
        </w:tc>
      </w:tr>
    </w:tbl>
    <w:p>
      <w:pPr>
        <w:keepNext w:val="0"/>
        <w:keepLines w:val="0"/>
        <w:pageBreakBefore w:val="0"/>
        <w:spacing w:before="0" w:after="0" w:line="20" w:lineRule="exact"/>
      </w:pPr>
    </w:p>
    <w:p>
      <w:r>
        <w:t>{</w:t>
      </w:r>
    </w:p>
    <w:p>
      <w:r>
        <w:t xml:space="preserve"> "id":"018f4b95-0000-7000-8000-000000000001","tenantId":"tenant-a",</w:t>
      </w:r>
    </w:p>
    <w:p>
      <w:r>
        <w:t xml:space="preserve"> "schemaVersion":1,"revision":17,"title":"Suspicious sign in",</w:t>
      </w:r>
    </w:p>
    <w:p>
      <w:r>
        <w:t xml:space="preserve"> "lifecycle":"Investigating","severity":"High","priority":"P1",</w:t>
      </w:r>
    </w:p>
    <w:p>
      <w:r>
        <w:t xml:space="preserve"> "classification":"Unknown","sensitivity":"CustomerConfidential",</w:t>
      </w:r>
    </w:p>
    <w:p>
      <w:r>
        <w:t xml:space="preserve"> "assignment":{"teamId":"identity-ir","subject":{"tid":"...","oid":"..."}},</w:t>
      </w:r>
    </w:p>
    <w:p>
      <w:r>
        <w:t xml:space="preserve"> "sourceLinks":[{"connectorId":"xdr-1","sourceId":"29","kind":"XdrIncident"}],</w:t>
      </w:r>
    </w:p>
    <w:p>
      <w:r>
        <w:t xml:space="preserve"> "detectedAtUtc":"2026-10-15T18:20:00Z","updatedAtUtc":"2026-10-15T18:28:00Z",</w:t>
      </w:r>
    </w:p>
    <w:p>
      <w:r>
        <w:t xml:space="preserve"> "closure":{"syncState":"NotRequested","reviewerOid":null}</w:t>
      </w:r>
    </w:p>
    <w:p>
      <w:r>
        <w:t>}</w:t>
      </w:r>
    </w:p>
    <w:p>
      <w:r>
        <w:t>All timestamps are UTC instants with explicit offset at API boundaries; roster recurrence additionally stores IANA zone and local wall time. Use UUIDs as opaque identifiers. Text fields have length limits; avoid unbounded embedded arrays and MongoDB document size limits by separate event collections. Sensitive payloads and binary evidence live in tenant scoped Blob Storage with references and checksums. Backups must support per tenant restore into a quarantine database before reconciliation. Never restore stale response queues into active execution.</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The contracts below define application commands and queries; only operations requiring external access should be exposed as API controllers. Blazor components invoke internal application services directly. External surfaces include customer ingestion relay callbacks approved third party incident integration and streaming upload or download where required. Do not create an API endpoint solely for each UI operation. Expose controllers with explicit allowlisting separate workload or human audiences and operation permissions. Base path for externally exposed operations is /api/v1. Human calls require tenant resolved session or access token and UAM decision. Workload ingestion uses a distinct audience and a connector identity bound server side to a tenant. Idempotency-Key is required for creates commands and approvals; store key and payload hash and return original response on replay, but 409 on changed payload. If-Match with canonical revision is required for PATCH and transitions. All list endpoints use opaque cursor pagination with a proposed maximum 100 records. Dates are RFC3339; enums reject unknown writes and preserve unknown source values.</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Method and path</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Contract and permission</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Response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w:t>
              <w:br/>
              <w:t>GET /tenants/{t}/incidents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Filters status severity team updatedSince cursor; incident.read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200 items nextCursor asOfUtc</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w:t>
              <w:br/>
              <w:t>POST /tenants/{t}/incidents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title summary severity entityRefs reason; incident.create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201 canonical incident Location ETag</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w:t>
              <w:br/>
              <w:t>GET /tenants/{t}/incidents/{i}</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Scoped detail; incident.read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200 incident ETag</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w:t>
              <w:br/>
              <w:t>PATCH /tenants/{t}/incidents/{i}</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Allowlisted fields and reason; incident.update plus field grants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200 new revision; 412 stale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w:t>
              <w:br/>
              <w:t>POST /tenants/{t}/incidents/{i}/transitions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targetState reason closure evidenceRefs; incident.transition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200 or 422 failed gates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w:t>
              <w:br/>
              <w:t>POST /tenants/{t}/incidents/{i}/comments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text visibility publishTargets; visibility specific permission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201 comment; source publication async</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M10</w:t>
              <w:br/>
              <w:t>POST /tenants/{t}/incidents/{i}/investigations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providerMode query scope; ai.infer</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202 runId Location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w:t>
              <w:br/>
              <w:t>POST /tenants/{t}/incidents/{i}/responses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actionType target parameters playbookVersion; response.propose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202 task and approval requirement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M12</w:t>
              <w:br/>
              <w:t>POST /tenants/{t}/responses/{r}/approvals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taskHash decision justification; response.approve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201 decision; 409 self approval or changed hash</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w:t>
              <w:br/>
              <w:t>POST /tenants/{t}/responses/{r}/execute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expectedTaskHash; response.execute and action grant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202 execution operation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w:t>
              <w:br/>
              <w:t>GET /tenants/{t}/operations/{o}</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 state receipts errors; resource scoped read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200 queued running succeeded failed unknown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Source engine / M04</w:t>
              <w:br/>
              <w:t>POST /ingestion/v1/events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Signed token connector binding envelope; ingestion.write workload role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202 durable receipt; duplicate original receipt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Foundation / M12</w:t>
              <w:br/>
              <w:t>POST /relay/v1/commands/lease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 workload identity connector capabilities nonce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200 bounded command or 204</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Foundation / M12</w:t>
              <w:br/>
              <w:t>POST /relay/v1/commands/{c}/results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result status providerId outputHash evidenceRefs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202 receipt; duplicate safe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M09</w:t>
              <w:br/>
              <w:t>GET PUT /tenants/{t}/rosters/{r}</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Versioned local zone recurrence exceptions; roster.manage on PUT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200 ETag; 422 DST conflict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Owning source engine</w:t>
              <w:br/>
              <w:t>POST /tenants/{t}/connectors/{c}/validate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arbitrary URLs; connector.test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202 capability check operation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w:t>
              <w:br/>
              <w:t>POST /tenants/{t}/files/upload-sessions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FileReference link uses filestore.upload and link permission; no duplicate evidence collection.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201 short lived scoped upload session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Foundation</w:t>
              <w:br/>
              <w:t>GET /tenants/{t}/audit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Time actor action cursor; audit.read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200 scoped append only stream</w:t>
            </w:r>
          </w:p>
        </w:tc>
      </w:tr>
    </w:tbl>
    <w:p>
      <w:pPr>
        <w:keepNext w:val="0"/>
        <w:keepLines w:val="0"/>
        <w:pageBreakBefore w:val="0"/>
        <w:spacing w:before="0" w:after="0" w:line="20" w:lineRule="exact"/>
      </w:pPr>
    </w:p>
    <w:p>
      <w:r>
        <w:t>POST /ingestion/v1/events</w:t>
      </w:r>
    </w:p>
    <w:p>
      <w:r>
        <w:t>{"schemaVersion":1,"eventId":"9e172ca0-...","connectorId":"xdr-1",</w:t>
      </w:r>
    </w:p>
    <w:p>
      <w:r>
        <w:t xml:space="preserve"> "sourceKind":"XdrIncident","sourceId":"29","sourceVersion":"opaque",</w:t>
      </w:r>
    </w:p>
    <w:p>
      <w:r>
        <w:t xml:space="preserve"> "observedAtUtc":"2026-10-15T18:20:00Z","correlationId":"c1",</w:t>
      </w:r>
    </w:p>
    <w:p>
      <w:r>
        <w:t xml:space="preserve"> "payloadHash":"sha256:...","payload":{"status":"active"}}</w:t>
      </w:r>
    </w:p>
    <w:p>
      <w:r>
        <w:t>202 {"receiptId":"r1","eventId":"9e172ca0-...","state":"DurablyAccepted"}</w:t>
      </w:r>
    </w:p>
    <w:p>
      <w:r>
        <w:t>PATCH /api/v1/tenants/t1/incidents/i1</w:t>
      </w:r>
    </w:p>
    <w:p>
      <w:r>
        <w:t>If-Match: "17"</w:t>
      </w:r>
    </w:p>
    <w:p>
      <w:r>
        <w:t>{"severity":"High","reason":"Business critical asset verified"}</w:t>
      </w:r>
    </w:p>
    <w:p>
      <w:r>
        <w:t>200 ETag: "18"</w:t>
      </w:r>
    </w:p>
    <w:p>
      <w:r>
        <w:t>{"id":"i1","revision":18,"syncState":"Pending"}</w:t>
      </w:r>
    </w:p>
    <w:p>
      <w:r>
        <w:t>422 application/problem+json</w:t>
      </w:r>
    </w:p>
    <w:p>
      <w:r>
        <w:t>{"type":"urn:aisoc:closure-gate","title":"Closure requirements incomplete",</w:t>
      </w:r>
    </w:p>
    <w:p>
      <w:r>
        <w:t xml:space="preserve"> "status":422,"code":"ClosureEvidenceMissing","traceId":"trace-1",</w:t>
      </w:r>
    </w:p>
    <w:p>
      <w:r>
        <w:t xml:space="preserve"> "errors":[{"field":"closure.recoveryEvidence","code":"Required"}]}</w:t>
      </w:r>
    </w:p>
    <w:p>
      <w:r>
        <w:t>Errors: 400 malformed; 401 invalid identity; 403 denied; 404 absent or inaccessible resource to avoid existence disclosure; 409 idempotency or workflow conflict; 412 revision mismatch; 413 too large; 422 semantic validation; 429 quota with Retry-After; 503 transient unavailable. Proposed limits: ingestion envelope 1 MiB, comment 16 KiB, 100 events per batch if batching is enabled; evidence uploads use streaming and tenant configured size cap. OpenAPI schemas and consumer generated clients are version controlled and verified in CI. New required fields or semantic enum changes require versioned contract migration.</w:t>
      </w:r>
    </w:p>
    <w:p>
      <w:r>
        <w:t>Relay command binds environment tenant command ID action target immutable parameters approval and policy hashes issuance expiry nonce and signature. After lease the executor or optional runner obtains a fresh signed single-use go decision; unavailable or revoked authority denies execution. Results and unknown outcomes are durable and reconciled. No arbitrary shell or unbounded destination is allowed. Delivery transport alone is not a go decision.</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Incident workbench shows canonical lifecycle source status per link current assignee severity provenance sync lag conflict banner timeline evidence hypotheses AI notes tasks approvals and recovery checklist. Internal and customer notes are visually distinct; publishing a note displays destination and classification. A source update failure never displays as source success. Show last source observation and local pending revision.</w:t>
      </w:r>
    </w:p>
    <w:p>
      <w:r>
        <w:t>Connector wizard captures tenant product region consent deployment relay and capability tests. Shift board shows primary backup coverage gaps unacknowledged incidents capacity and pending handover. Approval screen shows exact target parameters impact evidence requester policy and expiry; approval is authenticated and action specific. Customer dashboard restricts fields notes evidence and aggregate scope according to UAM. Accessibility includes keyboard operation meaningful focus contrast and noncolour status indicators. All timestamps can display user local time with UTC detail.</w:t>
      </w:r>
    </w:p>
    <w:p>
      <w:pPr>
        <w:pStyle w:val="Heading2"/>
        <w:keepNext/>
      </w:pPr>
      <w:r>
        <w:rPr>
          <w:color w:val="000000"/>
        </w:rPr>
        <w:t>M04 Incident data and synchronisation design</w:t>
      </w:r>
    </w:p>
    <w:p>
      <w:r>
        <w:t>M04 V5 1 M04 owns canonical records source links alias redirects public timelines snapshots conflicts and incident FileReference links. Protected internal notes audit approvals commands budgets AI traces and notification acknowledgements stay operator-held under their owners. Read results can join through ports; direct collection access is prohibited.</w:t>
      </w:r>
    </w:p>
    <w:p>
      <w:r>
        <w:t>M04 V5 2 Inbound unique identity is tenant plus connectorInstanceId plus eventId; every lookup matches the unique key. Preserve remote redirected identity and alias target. For a customer-held commit write an operator Intent first and require verified Outcome before outward publication. The field table defines write capabilities and provider conflicts rather than assuming universal symmetric updates.</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queue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Combine multiple source engines customer tenants workspaces and products under scoped filters consistent lifecycle and a common workbench.</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Canonical identity</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Maintain source links provider identities and source payload provenance; correlate mirrored incidents without title based automatic merges.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lifecycle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triage investigate respond recover review close and reopen incidents with required evidence classification and audit.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Bidirectional updates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Synchronise supported status severity assignment classification comments and closure fields with explicit ownership conflict handling and source receipts.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Visibility</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Separate internal customer visible and published source comments. Show source status sync lag conflicts and unsupported mutations.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M04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Optional capabilities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Run manual investigations before AI routing response File Store or asset engines are released; enable their panels only when available.</w:t>
            </w:r>
          </w:p>
        </w:tc>
      </w:tr>
    </w:tbl>
    <w:p>
      <w:bookmarkStart w:id="24" w:name="orca_ch_024"/>
      <w:pPr>
        <w:pStyle w:val="Tenant_Heading1"/>
      </w:pPr>
      <w:r>
        <w:t>M04 Unified security incidents settings</w:t>
      </w:r>
      <w:bookmarkEnd w:id="24"/>
    </w:p>
    <w:p>
      <w:r>
        <w:t>ECFG M04 | Required dependencies: M01 M02; manual intake or one available authorised source.</w:t>
      </w:r>
    </w:p>
    <w:p>
      <w:r>
        <w:t>Permission boundary: incident.read/create/update/transition; configuration edit requires a registered management grant.</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manualIntakeEnabled</w:t>
            </w:r>
          </w:p>
        </w:tc>
        <w:tc>
          <w:tcPr>
            <w:tcW w:type="dxa" w:w="2016"/>
          </w:tcPr>
          <w:p>
            <w:pPr>
              <w:spacing w:after="60" w:before="40" w:line="240" w:lineRule="auto"/>
            </w:pPr>
            <w:r>
              <w:rPr>
                <w:sz w:val="18"/>
              </w:rPr>
              <w:t>bool; inherit approved policy</w:t>
            </w:r>
          </w:p>
        </w:tc>
        <w:tc>
          <w:tcPr>
            <w:tcW w:type="dxa" w:w="5400"/>
          </w:tcPr>
          <w:p>
            <w:pPr>
              <w:spacing w:after="60" w:before="40" w:line="240" w:lineRule="auto"/>
            </w:pPr>
            <w:r>
              <w:rPr>
                <w:sz w:val="18"/>
              </w:rPr>
              <w:t>Requires incident.create and scoped input validation; no source connector is implied.</w:t>
            </w:r>
          </w:p>
        </w:tc>
      </w:tr>
      <w:tr>
        <w:trPr>
          <w:cantSplit/>
        </w:trPr>
        <w:tc>
          <w:tcPr>
            <w:tcW w:type="dxa" w:w="2448"/>
          </w:tcPr>
          <w:p>
            <w:pPr>
              <w:spacing w:after="60" w:before="40" w:line="240" w:lineRule="auto"/>
            </w:pPr>
            <w:r>
              <w:rPr>
                <w:sz w:val="18"/>
              </w:rPr>
              <w:t>sourceBindingRefs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M05/M06 or registered contributor routes. Validate one authoritative ingress per field/native-sync group.</w:t>
            </w:r>
          </w:p>
        </w:tc>
      </w:tr>
      <w:tr>
        <w:trPr>
          <w:cantSplit/>
        </w:trPr>
        <w:tc>
          <w:tcPr>
            <w:tcW w:type="dxa" w:w="2448"/>
          </w:tcPr>
          <w:p>
            <w:pPr>
              <w:spacing w:after="60" w:before="40" w:line="240" w:lineRule="auto"/>
            </w:pPr>
            <w:r>
              <w:rPr>
                <w:sz w:val="18"/>
              </w:rPr>
              <w:t>workflowRef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Versioned security incident lifecycle; do not reuse the technical ITSM state machine.</w:t>
            </w:r>
          </w:p>
        </w:tc>
      </w:tr>
      <w:tr>
        <w:trPr>
          <w:cantSplit/>
        </w:trPr>
        <w:tc>
          <w:tcPr>
            <w:tcW w:type="dxa" w:w="2448"/>
          </w:tcPr>
          <w:p>
            <w:pPr>
              <w:spacing w:after="60" w:before="40" w:line="240" w:lineRule="auto"/>
            </w:pPr>
            <w:r>
              <w:rPr>
                <w:sz w:val="18"/>
              </w:rPr>
              <w:t>priorityPolicyRef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Server derives priority/severity within approved vocabulary; raw provider states remain preserved.</w:t>
            </w:r>
          </w:p>
        </w:tc>
      </w:tr>
      <w:tr>
        <w:trPr>
          <w:cantSplit/>
        </w:trPr>
        <w:tc>
          <w:tcPr>
            <w:tcW w:type="dxa" w:w="2448"/>
          </w:tcPr>
          <w:p>
            <w:pPr>
              <w:spacing w:after="60" w:before="40" w:line="240" w:lineRule="auto"/>
            </w:pPr>
            <w:r>
              <w:rPr>
                <w:sz w:val="18"/>
              </w:rPr>
              <w:t>triageTeamRef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Existing scoped group, eligible team/owner and fallback; assignment does not grant record access.</w:t>
            </w:r>
          </w:p>
        </w:tc>
      </w:tr>
      <w:tr>
        <w:trPr>
          <w:cantSplit/>
        </w:trPr>
        <w:tc>
          <w:tcPr>
            <w:tcW w:type="dxa" w:w="2448"/>
          </w:tcPr>
          <w:p>
            <w:pPr>
              <w:spacing w:after="60" w:before="40" w:line="240" w:lineRule="auto"/>
            </w:pPr>
            <w:r>
              <w:rPr>
                <w:sz w:val="18"/>
              </w:rPr>
              <w:t>visibilityPolicyRef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Resource/sensitivity/team scope applied before lists, counts, links and exports.</w:t>
            </w:r>
          </w:p>
        </w:tc>
      </w:tr>
      <w:tr>
        <w:trPr>
          <w:cantSplit/>
        </w:trPr>
        <w:tc>
          <w:tcPr>
            <w:tcW w:type="dxa" w:w="2448"/>
          </w:tcPr>
          <w:p>
            <w:pPr>
              <w:spacing w:after="60" w:before="40" w:line="240" w:lineRule="auto"/>
            </w:pPr>
            <w:r>
              <w:rPr>
                <w:sz w:val="18"/>
              </w:rPr>
              <w:t>retentionPolicyRef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Keep evidence links and audit; linked ITSM/change/problem closure is never automatic.</w:t>
            </w:r>
          </w:p>
        </w:tc>
      </w:tr>
    </w:tbl>
    <w:p>
      <w:pPr>
        <w:pStyle w:val="Tenant_Heading2"/>
      </w:pPr>
      <w:r>
        <w:t>Lifecycle and integration</w:t>
      </w:r>
    </w:p>
    <w:p>
      <w:r>
        <w:t>Stop incident intake and ordinary operations when Off; reconcile accepted provider updates through registered recovery. Supported outbound fields still require source-specific write authority.</w:t>
      </w:r>
    </w:p>
    <w:p>
      <w:pPr>
        <w:pStyle w:val="Tenant_Heading2"/>
      </w:pPr>
      <w:r>
        <w:t>Engine acceptance scenario</w:t>
      </w:r>
    </w:p>
    <w:p>
      <w:r>
        <w:t>ECFG M04 AC: Test security versus ITSM record separation, source conflict, hidden incident counts, disabled-source intake and a manually created incident without Sentinel.</w:t>
      </w:r>
    </w:p>
    <w:p>
      <w:r>
        <w:t>All common TSET/NAV gates apply. Values and references are server-validated in the selected tenant; generic settings edits never replace the owning engine’s publication or approval workflow.</w:t>
      </w:r>
    </w:p>
    <w:p>
      <w:bookmarkStart w:id="25" w:name="orca_ch_025"/>
      <w:pPr>
        <w:pStyle w:val="Heading1"/>
        <w:keepNext/>
        <w:pageBreakBefore w:val="0"/>
      </w:pPr>
      <w:r>
        <w:rPr>
          <w:color w:val="000000"/>
        </w:rPr>
        <w:t>M05 Sentinel integration engine</w:t>
      </w:r>
      <w:bookmarkEnd w:id="25"/>
    </w:p>
    <w:p>
      <w:r>
        <w:t>Reuse existing Sentinel collection and analytics instead of replicating its source connector catalogue.</w:t>
      </w:r>
    </w:p>
    <w:p>
      <w:r>
        <w:t>Dependencies: M01 M02 M04</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Workspace onboarding</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Configure customer tenant subscriptions workspaces authentication deployment mode enabled datasets permissions and connectivity.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Aggregated ingestion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Consume incidents and supporting context already collected through Sentinel data connectors and analytics rules.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Graph path</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Graph as the default unified incident and alert route; retain proven SecurityInsights exceptions and one authoritative route per source scope.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Sentinel specific path</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Sentinel resource APIs for workspace capabilities and incidents not represented in the unified path; inventory those gaps explicitly.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Source registry</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Declare the authoritative incident feed for each scope; prevent direct product connectors from re-ingesting the same incident.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Outbound ownership</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Apply supported approved updates through one selected route per field and incident group with read back and reconciliation.</w:t>
            </w:r>
          </w:p>
        </w:tc>
      </w:tr>
    </w:tbl>
    <w:p>
      <w:pPr>
        <w:keepNext w:val="0"/>
        <w:keepLines w:val="0"/>
        <w:pageBreakBefore w:val="0"/>
        <w:spacing w:before="0" w:after="0" w:line="20" w:lineRule="exact"/>
      </w:pPr>
    </w:p>
    <w:p>
      <w:pPr>
        <w:pStyle w:val="Heading2"/>
        <w:keepNext/>
      </w:pPr>
      <w:r>
        <w:rPr>
          <w:color w:val="000000"/>
        </w:rPr>
        <w:t>Required workflow</w:t>
      </w:r>
    </w:p>
    <w:p>
      <w:r>
        <w:t>Assess workspace topology -&gt; inventory existing feeds -&gt; choose authoritative route -&gt; baseline -&gt; incremental sync -&gt; reconciliation and health.</w:t>
      </w:r>
    </w:p>
    <w:p>
      <w:pPr>
        <w:pStyle w:val="Heading2"/>
        <w:keepNext/>
      </w:pPr>
      <w:r>
        <w:rPr>
          <w:color w:val="000000"/>
        </w:rPr>
        <w:t>Acceptance criteria</w:t>
      </w:r>
    </w:p>
    <w:p>
      <w:pPr>
        <w:pStyle w:val="ListBullet"/>
      </w:pPr>
      <w:r>
        <w:t>M05 AC1 A third party source already represented by Sentinel reaches the portal without a new dedicated product connector.</w:t>
      </w:r>
    </w:p>
    <w:p>
      <w:pPr>
        <w:pStyle w:val="ListBullet"/>
      </w:pPr>
      <w:r>
        <w:t>M05 AC2 API created Sentinel incidents and secondary workspaces are included through the proven route or visibly reported as a coverage gap.</w:t>
      </w:r>
    </w:p>
    <w:p>
      <w:pPr>
        <w:pStyle w:val="ListBullet"/>
      </w:pPr>
      <w:r>
        <w:t>M05 AC3 No duplicate update loop is created with Microsoft native Sentinel and Defender synchronisation.</w:t>
      </w:r>
    </w:p>
    <w:p>
      <w:pPr>
        <w:pStyle w:val="ListBullet"/>
      </w:pPr>
      <w:r>
        <w:t>M05 AC4 Disabling Sentinel leaves other installed source engines operational.</w:t>
      </w:r>
    </w:p>
    <w:p>
      <w:pPr>
        <w:pStyle w:val="Heading2"/>
        <w:keepNext/>
      </w:pPr>
      <w:r>
        <w:rPr>
          <w:color w:val="000000"/>
        </w:rPr>
        <w:t>Suggested data responsibilities</w:t>
      </w:r>
    </w:p>
    <w:p>
      <w:r>
        <w:t>SentinelConnection WorkspaceScope FeedCoverage CapabilityManifest SourceRoute Checkpoint and NativeSyncGroup.</w:t>
      </w:r>
    </w:p>
    <w:p>
      <w:pPr>
        <w:pStyle w:val="Heading2"/>
        <w:keepNext/>
      </w:pPr>
      <w:r>
        <w:rPr>
          <w:color w:val="000000"/>
        </w:rPr>
        <w:t>Suggested implementation direction</w:t>
      </w:r>
    </w:p>
    <w:p>
      <w:r>
        <w:t>Graph is the default unified incident and alert route after verified Defender portal onboarding. ARM SecurityInsights handles Sentinel resources and documented incident exceptions. A customer Function is optional for customer-required custody or network constraints.</w:t>
      </w:r>
    </w:p>
    <w:p>
      <w:pPr>
        <w:pStyle w:val="Heading2"/>
        <w:keepNext/>
      </w:pPr>
      <w:r>
        <w:rPr>
          <w:color w:val="000000"/>
        </w:rPr>
        <w:t>Research before development</w:t>
      </w:r>
    </w:p>
    <w:p>
      <w:r>
        <w:t>Validate Graph exposure of actual customer incident classes workspace association manually created incidents source comment behaviour and national cloud API support. Do not assume portal unification means every API operation is unified.</w:t>
      </w:r>
    </w:p>
    <w:p>
      <w:pPr>
        <w:pStyle w:val="Heading2"/>
        <w:keepNext/>
      </w:pPr>
      <w:r>
        <w:rPr>
          <w:color w:val="000000"/>
        </w:rPr>
        <w:t>M05 Sentinel adapter design</w:t>
      </w:r>
    </w:p>
    <w:p>
      <w:r>
        <w:t>M05 V5 1 Graph is the default incident route after verified Defender onboarding. The adapter declares source tenant workspace source IDs read checkpoint paging overlaps raw enum support and outbound per-field route. SecurityInsights is the documented exception path for manual API and playbook incidents and Sentinel resources; it is not a second broad authoritative incident collector.</w:t>
      </w:r>
    </w:p>
    <w:p>
      <w:r>
        <w:t>M05 V5 2 Contract tests use provider fixtures and a sandbox for Graph plus ARM exception data, native propagation comment edit limitations no automatic reopening merges and multiple workspaces. Poll and reconcile; do not assume notifications on incidents or alerts_v2. Microsoft portal retirement is a dated platform dependency, not a reason to invent missing Graph creation support.</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M05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Workspace onboarding</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Configure customer tenant subscriptions workspaces authentication deployment mode enabled datasets permissions and connectivity.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M05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Aggregated ingestion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Consume incidents and supporting context already collected through Sentinel data connectors and analytics rules.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M05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Unified Graph path</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Graph as the default unified incident and alert route; retain proven SecurityInsights exceptions and one authoritative route per source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M05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Sentinel specific path</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Sentinel resource APIs for workspace capabilities and incidents not represented in the unified path; inventory those gaps explicitly.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M05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Source registry</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Declare the authoritative incident feed for each scope; prevent direct product connectors from re-ingesting the same incident.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M05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Outbound ownership</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Apply supported approved updates through one selected route per field and incident group with read back and reconciliation.</w:t>
            </w:r>
          </w:p>
        </w:tc>
      </w:tr>
    </w:tbl>
    <w:p>
      <w:bookmarkStart w:id="26" w:name="orca_ch_026"/>
      <w:pPr>
        <w:pStyle w:val="Tenant_Heading1"/>
      </w:pPr>
      <w:r>
        <w:t>M05 Sentinel integration settings</w:t>
      </w:r>
      <w:bookmarkEnd w:id="26"/>
    </w:p>
    <w:p>
      <w:r>
        <w:t>ECFG M05 | Required dependencies: M01 M02 M04.</w:t>
      </w:r>
    </w:p>
    <w:p>
      <w:r>
        <w:t>Permission boundary: sentinel.read/configure/sync.write and hunt.run by action; distinct Read/Respond consent.</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customerDirectoryRef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Bind actual customer directory to tenant registry; not the operator sign-in issuer.</w:t>
            </w:r>
          </w:p>
        </w:tc>
      </w:tr>
      <w:tr>
        <w:trPr>
          <w:cantSplit/>
        </w:trPr>
        <w:tc>
          <w:tcPr>
            <w:tcW w:type="dxa" w:w="2448"/>
          </w:tcPr>
          <w:p>
            <w:pPr>
              <w:spacing w:after="60" w:before="40" w:line="240" w:lineRule="auto"/>
            </w:pPr>
            <w:r>
              <w:rPr>
                <w:sz w:val="18"/>
              </w:rPr>
              <w:t>workspaceScopes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Explicit subscriptions/workspaces; validate consent, ownership, endpoint and effective query scope.</w:t>
            </w:r>
          </w:p>
        </w:tc>
      </w:tr>
      <w:tr>
        <w:trPr>
          <w:cantSplit/>
        </w:trPr>
        <w:tc>
          <w:tcPr>
            <w:tcW w:type="dxa" w:w="2448"/>
          </w:tcPr>
          <w:p>
            <w:pPr>
              <w:spacing w:after="60" w:before="40" w:line="240" w:lineRule="auto"/>
            </w:pPr>
            <w:r>
              <w:rPr>
                <w:sz w:val="18"/>
              </w:rPr>
              <w:t>readConnectionRef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Read registration/identity only. Secrets referenced in Key Vault, never client strings.</w:t>
            </w:r>
          </w:p>
        </w:tc>
      </w:tr>
      <w:tr>
        <w:trPr>
          <w:cantSplit/>
        </w:trPr>
        <w:tc>
          <w:tcPr>
            <w:tcW w:type="dxa" w:w="2448"/>
          </w:tcPr>
          <w:p>
            <w:pPr>
              <w:spacing w:after="60" w:before="40" w:line="240" w:lineRule="auto"/>
            </w:pPr>
            <w:r>
              <w:rPr>
                <w:sz w:val="18"/>
              </w:rPr>
              <w:t>mappingPolicyRef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Supported incident fields, owner representations and raw status preservation; no unsupported symmetric sync.</w:t>
            </w:r>
          </w:p>
        </w:tc>
      </w:tr>
      <w:tr>
        <w:trPr>
          <w:cantSplit/>
        </w:trPr>
        <w:tc>
          <w:tcPr>
            <w:tcW w:type="dxa" w:w="2448"/>
          </w:tcPr>
          <w:p>
            <w:pPr>
              <w:spacing w:after="60" w:before="40" w:line="240" w:lineRule="auto"/>
            </w:pPr>
            <w:r>
              <w:rPr>
                <w:sz w:val="18"/>
              </w:rPr>
              <w:t>syncPolicyRef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Polling/reconciliation baseline with last-success checkpoints, bounded retry and scope-aware dedup.</w:t>
            </w:r>
          </w:p>
        </w:tc>
      </w:tr>
      <w:tr>
        <w:trPr>
          <w:cantSplit/>
        </w:trPr>
        <w:tc>
          <w:tcPr>
            <w:tcW w:type="dxa" w:w="2448"/>
          </w:tcPr>
          <w:p>
            <w:pPr>
              <w:spacing w:after="60" w:before="40" w:line="240" w:lineRule="auto"/>
            </w:pPr>
            <w:r>
              <w:rPr>
                <w:sz w:val="18"/>
              </w:rPr>
              <w:t>huntingPolicyRef</w:t>
            </w:r>
          </w:p>
        </w:tc>
        <w:tc>
          <w:tcPr>
            <w:tcW w:type="dxa" w:w="2016"/>
          </w:tcPr>
          <w:p>
            <w:pPr>
              <w:spacing w:after="60" w:before="40" w:line="240" w:lineRule="auto"/>
            </w:pPr>
            <w:r>
              <w:rPr>
                <w:sz w:val="18"/>
              </w:rPr>
              <w:t>PolicyRef; unset if disabled</w:t>
            </w:r>
          </w:p>
        </w:tc>
        <w:tc>
          <w:tcPr>
            <w:tcW w:type="dxa" w:w="5400"/>
          </w:tcPr>
          <w:p>
            <w:pPr>
              <w:spacing w:after="60" w:before="40" w:line="240" w:lineRule="auto"/>
            </w:pPr>
            <w:r>
              <w:rPr>
                <w:sz w:val="18"/>
              </w:rPr>
              <w:t>Time range/output/cost controls and exact workspace binding; no unnoticed primary-workspace fallback.</w:t>
            </w:r>
          </w:p>
        </w:tc>
      </w:tr>
      <w:tr>
        <w:trPr>
          <w:cantSplit/>
        </w:trPr>
        <w:tc>
          <w:tcPr>
            <w:tcW w:type="dxa" w:w="2448"/>
          </w:tcPr>
          <w:p>
            <w:pPr>
              <w:spacing w:after="60" w:before="40" w:line="240" w:lineRule="auto"/>
            </w:pPr>
            <w:r>
              <w:rPr>
                <w:sz w:val="18"/>
              </w:rPr>
              <w:t>responseCapabilities</w:t>
            </w:r>
          </w:p>
        </w:tc>
        <w:tc>
          <w:tcPr>
            <w:tcW w:type="dxa" w:w="2016"/>
          </w:tcPr>
          <w:p>
            <w:pPr>
              <w:spacing w:after="60" w:before="40" w:line="240" w:lineRule="auto"/>
            </w:pPr>
            <w:r>
              <w:rPr>
                <w:sz w:val="18"/>
              </w:rPr>
              <w:t>enum[]; empty</w:t>
            </w:r>
          </w:p>
        </w:tc>
        <w:tc>
          <w:tcPr>
            <w:tcW w:type="dxa" w:w="5400"/>
          </w:tcPr>
          <w:p>
            <w:pPr>
              <w:spacing w:after="60" w:before="40" w:line="240" w:lineRule="auto"/>
            </w:pPr>
            <w:r>
              <w:rPr>
                <w:sz w:val="18"/>
              </w:rPr>
              <w:t>Only documented approved operations; requires separate Respond adapter, grants, approvals and live dispatch gate.</w:t>
            </w:r>
          </w:p>
        </w:tc>
      </w:tr>
    </w:tbl>
    <w:p>
      <w:pPr>
        <w:pStyle w:val="Tenant_Heading2"/>
      </w:pPr>
      <w:r>
        <w:t>Lifecycle and integration</w:t>
      </w:r>
    </w:p>
    <w:p>
      <w:r>
        <w:t>Changing scopes/registration requires stop and revalidation. Preserve cursors and field receipts; a missing provider record or unknown enum cannot fabricate a resolved incident.</w:t>
      </w:r>
    </w:p>
    <w:p>
      <w:pPr>
        <w:pStyle w:val="Tenant_Heading2"/>
      </w:pPr>
      <w:r>
        <w:t>Engine acceptance scenario</w:t>
      </w:r>
    </w:p>
    <w:p>
      <w:r>
        <w:t>ECFG M05 AC: Test workspace-scope substitution, stale consent, unknown source status, duplicate reconciliation and query scope fallback refusal.</w:t>
      </w:r>
    </w:p>
    <w:p>
      <w:r>
        <w:t>All common TSET/NAV gates apply. Values and references are server-validated in the selected tenant; generic settings edits never replace the owning engine’s publication or approval workflow.</w:t>
      </w:r>
    </w:p>
    <w:p>
      <w:bookmarkStart w:id="27" w:name="orca_ch_027"/>
      <w:pPr>
        <w:pStyle w:val="Heading1"/>
        <w:keepNext/>
        <w:pageBreakBefore/>
      </w:pPr>
      <w:r>
        <w:rPr>
          <w:color w:val="000000"/>
        </w:rPr>
        <w:t>M06 Defender integration engine</w:t>
      </w:r>
      <w:bookmarkEnd w:id="27"/>
    </w:p>
    <w:p>
      <w:r>
        <w:t>Expose Defender incidents evidence inventory and supported response capabilities without duplicate source ingestion.</w:t>
      </w:r>
    </w:p>
    <w:p>
      <w:r>
        <w:t>Dependencies: M01 M02 M04</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onboarding</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Configure tenant cloud service scopes credentials capability tests and source ownership against Sentinel.</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Common incident feed</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Graph security incident and alert surfaces where supported; expose the same canonical contract as Sentinel.</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Specialist enrichment</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Graph for hunting. Native device inventory evidence and machine actions only for a tested gap with dated endpoint permissions and migration verification.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Native sync awareness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Observe provider aliases merge identities and native Sentinel propagation before issuing another outbound write.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Response adapter</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Offer capability discovery target validation action execution status and independent verification to the response engine.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Assets contribution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Publish existing device inventories and observed identities to the Assets engine when installed without requiring a new AI SOC agent.</w:t>
            </w:r>
          </w:p>
        </w:tc>
      </w:tr>
    </w:tbl>
    <w:p>
      <w:pPr>
        <w:keepNext w:val="0"/>
        <w:keepLines w:val="0"/>
        <w:pageBreakBefore w:val="0"/>
        <w:spacing w:before="0" w:after="0" w:line="20" w:lineRule="exact"/>
      </w:pPr>
    </w:p>
    <w:p>
      <w:pPr>
        <w:pStyle w:val="Heading2"/>
        <w:keepNext/>
      </w:pPr>
      <w:r>
        <w:rPr>
          <w:color w:val="000000"/>
        </w:rPr>
        <w:t>Required workflow</w:t>
      </w:r>
    </w:p>
    <w:p>
      <w:r>
        <w:t>Validate consent -&gt; choose feed ownership -&gt; ingest or enrich -&gt; map canonical identity -&gt; verify approved write or response -&gt; reconcile.</w:t>
      </w:r>
    </w:p>
    <w:p>
      <w:pPr>
        <w:pStyle w:val="Heading2"/>
        <w:keepNext/>
      </w:pPr>
      <w:r>
        <w:rPr>
          <w:color w:val="000000"/>
        </w:rPr>
        <w:t>Acceptance criteria</w:t>
      </w:r>
    </w:p>
    <w:p>
      <w:pPr>
        <w:pStyle w:val="ListBullet"/>
      </w:pPr>
      <w:r>
        <w:t>M06 AC1 A Defender only customer can use the incident portal without Sentinel.</w:t>
      </w:r>
    </w:p>
    <w:p>
      <w:pPr>
        <w:pStyle w:val="ListBullet"/>
      </w:pPr>
      <w:r>
        <w:t>M06 AC2 A customer with native Sentinel integration can use one authoritative incident path while retaining native response enrichment.</w:t>
      </w:r>
    </w:p>
    <w:p>
      <w:pPr>
        <w:pStyle w:val="ListBullet"/>
      </w:pPr>
      <w:r>
        <w:t>M06 AC3 Accepted machine actions are not treated as completed containment.</w:t>
      </w:r>
    </w:p>
    <w:p>
      <w:pPr>
        <w:pStyle w:val="ListBullet"/>
      </w:pPr>
      <w:r>
        <w:t>M06 AC4 Insufficient consent produces a visible capability limitation.</w:t>
      </w:r>
    </w:p>
    <w:p>
      <w:pPr>
        <w:pStyle w:val="Heading2"/>
        <w:keepNext/>
      </w:pPr>
      <w:r>
        <w:rPr>
          <w:color w:val="000000"/>
        </w:rPr>
        <w:t>Suggested data responsibilities</w:t>
      </w:r>
    </w:p>
    <w:p>
      <w:r>
        <w:t>DefenderConnection ProductCapability DeviceObservation SourceAlias ActionReceipt and QueryResultReference.</w:t>
      </w:r>
    </w:p>
    <w:p>
      <w:pPr>
        <w:pStyle w:val="Heading2"/>
        <w:keepNext/>
      </w:pPr>
      <w:r>
        <w:rPr>
          <w:color w:val="000000"/>
        </w:rPr>
        <w:t>Suggested implementation direction</w:t>
      </w:r>
    </w:p>
    <w:p>
      <w:r>
        <w:t>Use Graph for common incident workflow and native MDE APIs for actions or inventory that Graph does not provide. Keep all source objects behind adapter DTOs; share common transport and mapping utilities without merging release ownership.</w:t>
      </w:r>
    </w:p>
    <w:p>
      <w:pPr>
        <w:pStyle w:val="Heading2"/>
        <w:keepNext/>
      </w:pPr>
      <w:r>
        <w:rPr>
          <w:color w:val="000000"/>
        </w:rPr>
        <w:t>Research before development</w:t>
      </w:r>
    </w:p>
    <w:p>
      <w:r>
        <w:t>Confirm supported XDR fields hunting tables native action APIs licensing quotas inventory retention and permission scopes at development time.</w:t>
      </w:r>
    </w:p>
    <w:p>
      <w:pPr>
        <w:pStyle w:val="Heading2"/>
        <w:keepNext/>
      </w:pPr>
      <w:r>
        <w:rPr>
          <w:color w:val="000000"/>
        </w:rPr>
        <w:t>M06 Defender adapter design</w:t>
      </w:r>
    </w:p>
    <w:p>
      <w:r>
        <w:t>M06 V5 1 Use the shared transport paging retry checkpoint and capability kit while keeping Defender ownership distinct. Incident Graph reads and supported writes map to M04. Hunting goes through Graph runHuntingQuery and the scoped broker. Native machine inventory and containment use exact endpoint-specific permissions after renewed verification.</w:t>
      </w:r>
    </w:p>
    <w:p>
      <w:r>
        <w:t>M06 V5 2 Action submission returns a provider operation ID; Accepted is not success. Test capability denial redirect aliases overlapping Sentinel mirrors rate limits unknown action outcome status polling and independent target-state read back. Defender-only onboarding does not require installing Sentinel.</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M06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onboarding</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Configure tenant cloud service scopes credentials capability tests and source ownership against Sentinel.</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M06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Common incident feed</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Graph security incident and alert surfaces where supported; expose the same canonical contract as Sentinel.</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M06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Specialist enrichment</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Graph for hunting. Native device inventory evidence and machine actions only for a tested gap with dated endpoint permissions and migration verification.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M06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Native sync awareness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Observe provider aliases merge identities and native Sentinel propagation before issuing another outbound write.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M06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Response adapter</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Offer capability discovery target validation action execution status and independent verification to the response engine.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M06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Assets contribution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Publish existing device inventories and observed identities to the Assets engine when installed without requiring a new AI SOC agent.</w:t>
            </w:r>
          </w:p>
        </w:tc>
      </w:tr>
    </w:tbl>
    <w:p>
      <w:bookmarkStart w:id="28" w:name="orca_ch_028"/>
      <w:pPr>
        <w:pStyle w:val="Tenant_Heading1"/>
      </w:pPr>
      <w:r>
        <w:t>M06 Defender integration settings</w:t>
      </w:r>
      <w:bookmarkEnd w:id="28"/>
    </w:p>
    <w:p>
      <w:r>
        <w:t>ECFG M06 | Required dependencies: M01 M02 M04.</w:t>
      </w:r>
    </w:p>
    <w:p>
      <w:r>
        <w:t>Permission boundary: defender.read/configure/sync.write and hunt.run by action; response grants independent.</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productProfiles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Pin approved product/endpoint capability profiles; enabling one product grants no access to others.</w:t>
            </w:r>
          </w:p>
        </w:tc>
      </w:tr>
      <w:tr>
        <w:trPr>
          <w:cantSplit/>
        </w:trPr>
        <w:tc>
          <w:tcPr>
            <w:tcW w:type="dxa" w:w="2448"/>
          </w:tcPr>
          <w:p>
            <w:pPr>
              <w:spacing w:after="60" w:before="40" w:line="240" w:lineRule="auto"/>
            </w:pPr>
            <w:r>
              <w:rPr>
                <w:sz w:val="18"/>
              </w:rPr>
              <w:t>customerDirectoryRef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Must match tenant’s approved customer source identity.</w:t>
            </w:r>
          </w:p>
        </w:tc>
      </w:tr>
      <w:tr>
        <w:trPr>
          <w:cantSplit/>
        </w:trPr>
        <w:tc>
          <w:tcPr>
            <w:tcW w:type="dxa" w:w="2448"/>
          </w:tcPr>
          <w:p>
            <w:pPr>
              <w:spacing w:after="60" w:before="40" w:line="240" w:lineRule="auto"/>
            </w:pPr>
            <w:r>
              <w:rPr>
                <w:sz w:val="18"/>
              </w:rPr>
              <w:t>readConnectionRef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Read-only scoped consent/credential reference; Respond credentials exist only in authorised Executor.</w:t>
            </w:r>
          </w:p>
        </w:tc>
      </w:tr>
      <w:tr>
        <w:trPr>
          <w:cantSplit/>
        </w:trPr>
        <w:tc>
          <w:tcPr>
            <w:tcW w:type="dxa" w:w="2448"/>
          </w:tcPr>
          <w:p>
            <w:pPr>
              <w:spacing w:after="60" w:before="40" w:line="240" w:lineRule="auto"/>
            </w:pPr>
            <w:r>
              <w:rPr>
                <w:sz w:val="18"/>
              </w:rPr>
              <w:t>incidentMappingRef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Preserve raw evolvable enum values and aliases; redirected is not resolved.</w:t>
            </w:r>
          </w:p>
        </w:tc>
      </w:tr>
      <w:tr>
        <w:trPr>
          <w:cantSplit/>
        </w:trPr>
        <w:tc>
          <w:tcPr>
            <w:tcW w:type="dxa" w:w="2448"/>
          </w:tcPr>
          <w:p>
            <w:pPr>
              <w:spacing w:after="60" w:before="40" w:line="240" w:lineRule="auto"/>
            </w:pPr>
            <w:r>
              <w:rPr>
                <w:sz w:val="18"/>
              </w:rPr>
              <w:t>inventoryScopeRefs</w:t>
            </w:r>
          </w:p>
        </w:tc>
        <w:tc>
          <w:tcPr>
            <w:tcW w:type="dxa" w:w="2016"/>
          </w:tcPr>
          <w:p>
            <w:pPr>
              <w:spacing w:after="60" w:before="40" w:line="240" w:lineRule="auto"/>
            </w:pPr>
            <w:r>
              <w:rPr>
                <w:sz w:val="18"/>
              </w:rPr>
              <w:t>Scope[]; empty</w:t>
            </w:r>
          </w:p>
        </w:tc>
        <w:tc>
          <w:tcPr>
            <w:tcW w:type="dxa" w:w="5400"/>
          </w:tcPr>
          <w:p>
            <w:pPr>
              <w:spacing w:after="60" w:before="40" w:line="240" w:lineRule="auto"/>
            </w:pPr>
            <w:r>
              <w:rPr>
                <w:sz w:val="18"/>
              </w:rPr>
              <w:t>Explicit approved device/inventory scopes; verify exact endpoint capability at implementation intake.</w:t>
            </w:r>
          </w:p>
        </w:tc>
      </w:tr>
      <w:tr>
        <w:trPr>
          <w:cantSplit/>
        </w:trPr>
        <w:tc>
          <w:tcPr>
            <w:tcW w:type="dxa" w:w="2448"/>
          </w:tcPr>
          <w:p>
            <w:pPr>
              <w:spacing w:after="60" w:before="40" w:line="240" w:lineRule="auto"/>
            </w:pPr>
            <w:r>
              <w:rPr>
                <w:sz w:val="18"/>
              </w:rPr>
              <w:t>syncPolicyRef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Polling, reconciliation, checkpoints, duplicate handling, retry and source freshness.</w:t>
            </w:r>
          </w:p>
        </w:tc>
      </w:tr>
      <w:tr>
        <w:trPr>
          <w:cantSplit/>
        </w:trPr>
        <w:tc>
          <w:tcPr>
            <w:tcW w:type="dxa" w:w="2448"/>
          </w:tcPr>
          <w:p>
            <w:pPr>
              <w:spacing w:after="60" w:before="40" w:line="240" w:lineRule="auto"/>
            </w:pPr>
            <w:r>
              <w:rPr>
                <w:sz w:val="18"/>
              </w:rPr>
              <w:t>responseCapabilityRefs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Approved action/target pairs with response permissions, independent approval and outcome verification.</w:t>
            </w:r>
          </w:p>
        </w:tc>
      </w:tr>
    </w:tbl>
    <w:p>
      <w:pPr>
        <w:pStyle w:val="Tenant_Heading2"/>
      </w:pPr>
      <w:r>
        <w:t>Lifecycle and integration</w:t>
      </w:r>
    </w:p>
    <w:p>
      <w:r>
        <w:t>Provider actions already accepted are reconciled when Off; no destructive blind retry. A product profile is not a promise that every native endpoint is supported.</w:t>
      </w:r>
    </w:p>
    <w:p>
      <w:pPr>
        <w:pStyle w:val="Tenant_Heading2"/>
      </w:pPr>
      <w:r>
        <w:t>Engine acceptance scenario</w:t>
      </w:r>
    </w:p>
    <w:p>
      <w:r>
        <w:t>ECFG M06 AC: Test duplicate unified ingestion, alias handling, Read identity unable to dispatch, disabled capability denial and accepted-action timeout read-back.</w:t>
      </w:r>
    </w:p>
    <w:p>
      <w:r>
        <w:t>All common TSET/NAV gates apply. Values and references are server-validated in the selected tenant; generic settings edits never replace the owning engine’s publication or approval workflow.</w:t>
      </w:r>
    </w:p>
    <w:p>
      <w:bookmarkStart w:id="29" w:name="orca_ch_029"/>
      <w:pPr>
        <w:pStyle w:val="Heading1"/>
        <w:keepNext/>
        <w:pageBreakBefore/>
      </w:pPr>
      <w:r>
        <w:rPr>
          <w:color w:val="000000"/>
        </w:rPr>
        <w:t>M07 Agentless asset engine</w:t>
      </w:r>
      <w:bookmarkEnd w:id="29"/>
    </w:p>
    <w:p>
      <w:r>
        <w:t>Build an asset inventory from existing connected datasets with no additional AI SOC endpoint agent.</w:t>
      </w:r>
    </w:p>
    <w:p>
      <w:r>
        <w:t>Dependencies: M01 M02; one inventory contributor</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Dataset discovery</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 Sentinel entities and available telemetry Defender inventory Intune Entra directory Azure Resource Graph and customer supplied existing inventories.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Canonical assets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Normalise devices servers cloud resources applications and other observed asset types with source IDs provenance first seen last seen and collection time.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reconciliation</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Correlate strong identifiers with confidence and merge review. Preserve source IDs and support split correction.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Operational inventory</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searchable assets owner service criticality tags lifecycle relationships risk posture and source coverage views.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and service links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Link assets to incidents changes problems controls and evidence as those engines become available.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Freshness and boundaries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Mark stale incomplete conflicting or retired observations; show unknown attributes without implying complete discovery. No new network scanning or endpoint deployment is required.</w:t>
            </w:r>
          </w:p>
        </w:tc>
      </w:tr>
    </w:tbl>
    <w:p>
      <w:pPr>
        <w:keepNext w:val="0"/>
        <w:keepLines w:val="0"/>
        <w:pageBreakBefore w:val="0"/>
        <w:spacing w:before="0" w:after="0" w:line="20" w:lineRule="exact"/>
      </w:pPr>
    </w:p>
    <w:p>
      <w:pPr>
        <w:pStyle w:val="Heading2"/>
        <w:keepNext/>
      </w:pPr>
      <w:r>
        <w:rPr>
          <w:color w:val="000000"/>
        </w:rPr>
        <w:t>Required workflow</w:t>
      </w:r>
    </w:p>
    <w:p>
      <w:r>
        <w:t>Read existing authorised dataset -&gt; normalise source observation -&gt; match strong identities -&gt; review ambiguous candidates -&gt; publish asset -&gt; age and reconcile.</w:t>
      </w:r>
    </w:p>
    <w:p>
      <w:pPr>
        <w:pStyle w:val="Heading2"/>
        <w:keepNext/>
      </w:pPr>
      <w:r>
        <w:rPr>
          <w:color w:val="000000"/>
        </w:rPr>
        <w:t>Acceptance criteria</w:t>
      </w:r>
    </w:p>
    <w:p>
      <w:pPr>
        <w:pStyle w:val="ListBullet"/>
      </w:pPr>
      <w:r>
        <w:t>M07 AC1 A pilot inventory is populated using existing datasets only.</w:t>
      </w:r>
    </w:p>
    <w:p>
      <w:pPr>
        <w:pStyle w:val="ListBullet"/>
      </w:pPr>
      <w:r>
        <w:t>M07 AC2 Two devices sharing a name or recycled IP are not automatically merged.</w:t>
      </w:r>
    </w:p>
    <w:p>
      <w:pPr>
        <w:pStyle w:val="ListBullet"/>
      </w:pPr>
      <w:r>
        <w:t>M07 AC3 Every displayed source attribute carries provenance and freshness.</w:t>
      </w:r>
    </w:p>
    <w:p>
      <w:pPr>
        <w:pStyle w:val="ListBullet"/>
      </w:pPr>
      <w:r>
        <w:t>M07 AC4 No telemetry does not mean the asset is secure absent or retired.</w:t>
      </w:r>
    </w:p>
    <w:p>
      <w:pPr>
        <w:pStyle w:val="Heading2"/>
        <w:keepNext/>
      </w:pPr>
      <w:r>
        <w:rPr>
          <w:color w:val="000000"/>
        </w:rPr>
        <w:t>Suggested data responsibilities</w:t>
      </w:r>
    </w:p>
    <w:p>
      <w:r>
        <w:t>Asset AssetObservation AssetIdentifier AssetRelationship AssetOwnership LifecycleEvent MergeDecision CoverageGap and SourceFreshness.</w:t>
      </w:r>
    </w:p>
    <w:p>
      <w:pPr>
        <w:pStyle w:val="Heading2"/>
        <w:keepNext/>
      </w:pPr>
      <w:r>
        <w:rPr>
          <w:color w:val="000000"/>
        </w:rPr>
        <w:t>Suggested implementation direction</w:t>
      </w:r>
    </w:p>
    <w:p>
      <w:r>
        <w:t>Use immutable provider IDs directory device IDs resource IDs and serial numbers where reliable. A tenant scoped identity graph with field level source precedence and manual overrides is a candidate. Read only Graph MDE and Resource Graph sources are useful contributors [S28 S29 S30].</w:t>
      </w:r>
    </w:p>
    <w:p>
      <w:pPr>
        <w:pStyle w:val="Heading2"/>
        <w:keepNext/>
      </w:pPr>
      <w:r>
        <w:rPr>
          <w:color w:val="000000"/>
        </w:rPr>
        <w:t>Research before development</w:t>
      </w:r>
    </w:p>
    <w:p>
      <w:r>
        <w:t>Validate identifier mappings deviceId versus objectId MAC reuse resource renames subscription access retention scope and software inventory licensing. Agentless means no new AI SOC agent; upstream tools may already use their own sensors.</w:t>
      </w:r>
    </w:p>
    <w:p>
      <w:pPr>
        <w:pStyle w:val="Heading2"/>
        <w:keepNext/>
      </w:pPr>
      <w:r>
        <w:rPr>
          <w:color w:val="000000"/>
        </w:rPr>
        <w:t>M07 Asset reconciliation design</w:t>
      </w:r>
    </w:p>
    <w:p>
      <w:r>
        <w:t>M07 V5 1 Normalise observations by source immutable identifier with observedAt collectedAt provenance confidence and completeness. Candidate cross-source matches use durable identifiers first; ambiguous identity requires review. Track merge and split lineage and tombstones; lack of a new observation is not deletion.</w:t>
      </w:r>
    </w:p>
    <w:p>
      <w:r>
        <w:t>M07 V5 2 Publish AssetReference and versioned fact events to incidents and dashboards. Permissions cover asset.read asset.manage asset.merge asset.export. A reviewer cannot erase historical identifiers by merging. Inventory coverage is scoped by source; no new endpoint agent is required.</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M07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Dataset discovery</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 Sentinel entities and available telemetry Defender inventory Intune Entra directory Azure Resource Graph and customer supplied existing inventories.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M07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Canonical assets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Normalise devices servers cloud resources applications and other observed asset types with source IDs provenance first seen last seen and collection time.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M07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reconciliation</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Correlate strong identifiers with confidence and merge review. Preserve source IDs and support split correction.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M07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Operational inventory</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searchable assets owner service criticality tags lifecycle relationships risk posture and source coverage views.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M07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and service links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Link assets to incidents changes problems controls and evidence as those engines become available.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M07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Freshness and boundaries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Mark stale incomplete conflicting or retired observations; show unknown attributes without implying complete discovery. No new network scanning or endpoint deployment is required.</w:t>
            </w:r>
          </w:p>
        </w:tc>
      </w:tr>
    </w:tbl>
    <w:p>
      <w:bookmarkStart w:id="30" w:name="orca_ch_030"/>
      <w:pPr>
        <w:pStyle w:val="Tenant_Heading1"/>
      </w:pPr>
      <w:r>
        <w:t>M07 Agentless assets settings</w:t>
      </w:r>
      <w:bookmarkEnd w:id="30"/>
    </w:p>
    <w:p>
      <w:r>
        <w:t>ECFG M07 | Required dependencies: M01 M02; at least one usable inventory contributor.</w:t>
      </w:r>
    </w:p>
    <w:p>
      <w:r>
        <w:t>Permission boundary: asset.read/manage/merge/export according to action; source credentials separately governed.</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contributorRefs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Existing approved Azure/Entra/Defender/integration inventories; no new endpoint agent.</w:t>
            </w:r>
          </w:p>
        </w:tc>
      </w:tr>
      <w:tr>
        <w:trPr>
          <w:cantSplit/>
        </w:trPr>
        <w:tc>
          <w:tcPr>
            <w:tcW w:type="dxa" w:w="2448"/>
          </w:tcPr>
          <w:p>
            <w:pPr>
              <w:spacing w:after="60" w:before="40" w:line="240" w:lineRule="auto"/>
            </w:pPr>
            <w:r>
              <w:rPr>
                <w:sz w:val="18"/>
              </w:rPr>
              <w:t>inventoryScopes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Resource/source ownership validated against the selected tenant.</w:t>
            </w:r>
          </w:p>
        </w:tc>
      </w:tr>
      <w:tr>
        <w:trPr>
          <w:cantSplit/>
        </w:trPr>
        <w:tc>
          <w:tcPr>
            <w:tcW w:type="dxa" w:w="2448"/>
          </w:tcPr>
          <w:p>
            <w:pPr>
              <w:spacing w:after="60" w:before="40" w:line="240" w:lineRule="auto"/>
            </w:pPr>
            <w:r>
              <w:rPr>
                <w:sz w:val="18"/>
              </w:rPr>
              <w:t>reconciliationPolicyRef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Stable source identities, merge precedence and ambiguity handling; never merge across tenants.</w:t>
            </w:r>
          </w:p>
        </w:tc>
      </w:tr>
      <w:tr>
        <w:trPr>
          <w:cantSplit/>
        </w:trPr>
        <w:tc>
          <w:tcPr>
            <w:tcW w:type="dxa" w:w="2448"/>
          </w:tcPr>
          <w:p>
            <w:pPr>
              <w:spacing w:after="60" w:before="40" w:line="240" w:lineRule="auto"/>
            </w:pPr>
            <w:r>
              <w:rPr>
                <w:sz w:val="18"/>
              </w:rPr>
              <w:t>ownershipPolicyRef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Approved ownership sources and unresolved-owner state; labels do not confer access.</w:t>
            </w:r>
          </w:p>
        </w:tc>
      </w:tr>
      <w:tr>
        <w:trPr>
          <w:cantSplit/>
        </w:trPr>
        <w:tc>
          <w:tcPr>
            <w:tcW w:type="dxa" w:w="2448"/>
          </w:tcPr>
          <w:p>
            <w:pPr>
              <w:spacing w:after="60" w:before="40" w:line="240" w:lineRule="auto"/>
            </w:pPr>
            <w:r>
              <w:rPr>
                <w:sz w:val="18"/>
              </w:rPr>
              <w:t>criticalityPolicyRef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Versioned business criticality/exclusion rules with auditable override.</w:t>
            </w:r>
          </w:p>
        </w:tc>
      </w:tr>
      <w:tr>
        <w:trPr>
          <w:cantSplit/>
        </w:trPr>
        <w:tc>
          <w:tcPr>
            <w:tcW w:type="dxa" w:w="2448"/>
          </w:tcPr>
          <w:p>
            <w:pPr>
              <w:spacing w:after="60" w:before="40" w:line="240" w:lineRule="auto"/>
            </w:pPr>
            <w:r>
              <w:rPr>
                <w:sz w:val="18"/>
              </w:rPr>
              <w:t>freshnessPolicyRef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Assessed versus stale/unassessed coverage with source as-of time.</w:t>
            </w:r>
          </w:p>
        </w:tc>
      </w:tr>
      <w:tr>
        <w:trPr>
          <w:cantSplit/>
        </w:trPr>
        <w:tc>
          <w:tcPr>
            <w:tcW w:type="dxa" w:w="2448"/>
          </w:tcPr>
          <w:p>
            <w:pPr>
              <w:spacing w:after="60" w:before="40" w:line="240" w:lineRule="auto"/>
            </w:pPr>
            <w:r>
              <w:rPr>
                <w:sz w:val="18"/>
              </w:rPr>
              <w:t>collectionScheduleRef</w:t>
            </w:r>
          </w:p>
        </w:tc>
        <w:tc>
          <w:tcPr>
            <w:tcW w:type="dxa" w:w="2016"/>
          </w:tcPr>
          <w:p>
            <w:pPr>
              <w:spacing w:after="60" w:before="40" w:line="240" w:lineRule="auto"/>
            </w:pPr>
            <w:r>
              <w:rPr>
                <w:sz w:val="18"/>
              </w:rPr>
              <w:t>Ref; inherit</w:t>
            </w:r>
          </w:p>
        </w:tc>
        <w:tc>
          <w:tcPr>
            <w:tcW w:type="dxa" w:w="5400"/>
          </w:tcPr>
          <w:p>
            <w:pPr>
              <w:spacing w:after="60" w:before="40" w:line="240" w:lineRule="auto"/>
            </w:pPr>
            <w:r>
              <w:rPr>
                <w:sz w:val="18"/>
              </w:rPr>
              <w:t>Registered schedule/concurrency policy; no unconstrained per-circuit collector.</w:t>
            </w:r>
          </w:p>
        </w:tc>
      </w:tr>
    </w:tbl>
    <w:p>
      <w:pPr>
        <w:pStyle w:val="Tenant_Heading2"/>
      </w:pPr>
      <w:r>
        <w:t>Lifecycle and integration</w:t>
      </w:r>
    </w:p>
    <w:p>
      <w:r>
        <w:t>Off stops discovery/refresh, not customer assets. Preserve source keys and inventory history; reports cannot expose disabled data via stale projections.</w:t>
      </w:r>
    </w:p>
    <w:p>
      <w:pPr>
        <w:pStyle w:val="Tenant_Heading2"/>
      </w:pPr>
      <w:r>
        <w:t>Engine acceptance scenario</w:t>
      </w:r>
    </w:p>
    <w:p>
      <w:r>
        <w:t>ECFG M07 AC: Test no contributor readiness, ambiguous merge, missing coverage not healthy, stale observations and unrelated tenant inventory unaffected.</w:t>
      </w:r>
    </w:p>
    <w:p>
      <w:r>
        <w:t>All common TSET/NAV gates apply. Values and references are server-validated in the selected tenant; generic settings edits never replace the owning engine’s publication or approval workflow.</w:t>
      </w:r>
    </w:p>
    <w:p>
      <w:bookmarkStart w:id="31" w:name="orca_ch_031"/>
      <w:pPr>
        <w:pStyle w:val="Heading1"/>
        <w:keepNext/>
        <w:pageBreakBefore/>
      </w:pPr>
      <w:r>
        <w:rPr>
          <w:color w:val="000000"/>
        </w:rPr>
        <w:t>M08 ATTACK and control engine</w:t>
      </w:r>
      <w:bookmarkEnd w:id="31"/>
    </w:p>
    <w:p>
      <w:r>
        <w:t>Maintain official ATTACK taxonomy and map incidents and controls to measurable attack coverage.</w:t>
      </w:r>
    </w:p>
    <w:p>
      <w:r>
        <w:t>Dependencies: M01 M02; incident and asset links optional</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Official catalogue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Synchronise official MITRE STIX JSON release index domain bundles IDs sub-techniques and relationships with local approved versions.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Mappings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searchable multi select for tactics techniques sub-techniques on incidents controls rules playbooks and response actions.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Control register</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Store owner purpose scope implementation state test evidence effectiveness observations review due and ATTACK mapping intent.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Lifecycle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Preserve retired catalogue mappings historical versions and AI suggestion evidence; require review before confirmation.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Coverage outputs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Publish scoped mapping and control evidence facts to reporting without equating configured mapping to effective protection.</w:t>
            </w:r>
          </w:p>
        </w:tc>
      </w:tr>
    </w:tbl>
    <w:p>
      <w:pPr>
        <w:keepNext w:val="0"/>
        <w:keepLines w:val="0"/>
        <w:pageBreakBefore w:val="0"/>
        <w:spacing w:before="0" w:after="0" w:line="20" w:lineRule="exact"/>
      </w:pPr>
    </w:p>
    <w:p>
      <w:pPr>
        <w:pStyle w:val="Heading2"/>
        <w:keepNext/>
      </w:pPr>
      <w:r>
        <w:rPr>
          <w:color w:val="000000"/>
        </w:rPr>
        <w:t>Required workflow</w:t>
      </w:r>
    </w:p>
    <w:p>
      <w:r>
        <w:t>Discover official release -&gt; validate and approve -&gt; activate snapshot -&gt; map subject -&gt; test control -&gt; publish scoped coverage.</w:t>
      </w:r>
    </w:p>
    <w:p>
      <w:pPr>
        <w:pStyle w:val="Heading2"/>
        <w:keepNext/>
      </w:pPr>
      <w:r>
        <w:rPr>
          <w:color w:val="000000"/>
        </w:rPr>
        <w:t>Acceptance criteria</w:t>
      </w:r>
    </w:p>
    <w:p>
      <w:pPr>
        <w:pStyle w:val="ListBullet"/>
      </w:pPr>
      <w:r>
        <w:t>M08 AC1 Historical evidence remains linked to the original catalogue release.</w:t>
      </w:r>
    </w:p>
    <w:p>
      <w:pPr>
        <w:pStyle w:val="ListBullet"/>
      </w:pPr>
      <w:r>
        <w:t>M08 AC2 AI cannot invent unknown technique IDs.</w:t>
      </w:r>
    </w:p>
    <w:p>
      <w:pPr>
        <w:pStyle w:val="ListBullet"/>
      </w:pPr>
      <w:r>
        <w:t>M08 AC3 Configured controls are not labelled proven effective.</w:t>
      </w:r>
    </w:p>
    <w:p>
      <w:pPr>
        <w:pStyle w:val="ListBullet"/>
      </w:pPr>
      <w:r>
        <w:t>M08 AC4 Parent technique rollups avoid double counting children.</w:t>
      </w:r>
    </w:p>
    <w:p>
      <w:pPr>
        <w:pStyle w:val="Heading2"/>
        <w:keepNext/>
      </w:pPr>
      <w:r>
        <w:rPr>
          <w:color w:val="000000"/>
        </w:rPr>
        <w:t>Suggested data responsibilities</w:t>
      </w:r>
    </w:p>
    <w:p>
      <w:r>
        <w:t>CatalogueSnapshot AttackObject Relationship AttackMapping Control ControlVersion ControlValidation and CoverageFact.</w:t>
      </w:r>
    </w:p>
    <w:p>
      <w:pPr>
        <w:pStyle w:val="Heading2"/>
        <w:keepNext/>
      </w:pPr>
      <w:r>
        <w:rPr>
          <w:color w:val="000000"/>
        </w:rPr>
        <w:t>Suggested implementation direction</w:t>
      </w:r>
    </w:p>
    <w:p>
      <w:r>
        <w:t>Read official GitHub STIX 2.1 JSON with .NET JSON capabilities; keep one public reference catalogue and tenant private mappings. Build heatmap UI with Radzen and original application markup under the MIT UI policy.</w:t>
      </w:r>
    </w:p>
    <w:p>
      <w:pPr>
        <w:pStyle w:val="Heading2"/>
        <w:keepNext/>
      </w:pPr>
      <w:r>
        <w:rPr>
          <w:color w:val="000000"/>
        </w:rPr>
        <w:t>Research before development</w:t>
      </w:r>
    </w:p>
    <w:p>
      <w:r>
        <w:t>Confirm catalogue update cadence supported domain schemas attribution activation approval and coverage relevance denominators.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The platform should synchronise the official MITRE ATT&amp;CK STIX 2.1 JSON catalogue from GitHub rather than hardcode technique names or IDs. Enterprise Mobile and ICS domains are supported; Enterprise is enabled by default and the tenant can enable additional domains. The catalogue supplies tactics techniques sub-techniques relationships and available supporting objects. Catalogue access does not require an AI call. MITRE publishes a machine readable collection index and versioned domain bundles [S23]. Use the approved local snapshot for selectors and reports so GitHub availability does not affect incident work.</w:t>
      </w:r>
    </w:p>
    <w:p>
      <w:pPr>
        <w:pStyle w:val="Heading3"/>
        <w:keepNext/>
      </w:pPr>
      <w:r>
        <w:rPr>
          <w:color w:val="000000"/>
        </w:rPr>
        <w:t>Official sources and release discovery</w:t>
      </w:r>
    </w:p>
    <w:p>
      <w:r>
        <w:t>Collection index</w:t>
      </w:r>
    </w:p>
    <w:p>
      <w:r>
        <w:t>https://raw.githubusercontent.com/mitre-attack/attack-stix-data/master/index.json</w:t>
      </w:r>
    </w:p>
    <w:p>
      <w:r>
        <w:t>Latest Enterprise bundle for discovery</w:t>
      </w:r>
    </w:p>
    <w:p>
      <w:r>
        <w:t>https://raw.githubusercontent.com/mitre-attack/attack-stix-data/master/enterprise-attack/enterprise-attack.json</w:t>
      </w:r>
    </w:p>
    <w:p>
      <w:r>
        <w:t>Latest Mobile bundle for discovery</w:t>
      </w:r>
    </w:p>
    <w:p>
      <w:r>
        <w:t>https://raw.githubusercontent.com/mitre-attack/attack-stix-data/master/mobile-attack/mobile-attack.json</w:t>
      </w:r>
    </w:p>
    <w:p>
      <w:r>
        <w:t>Latest ICS bundle for discovery</w:t>
      </w:r>
    </w:p>
    <w:p>
      <w:r>
        <w:t>https://raw.githubusercontent.com/mitre-attack/attack-stix-data/master/ics-attack/ics-attack.json</w:t>
      </w:r>
    </w:p>
    <w:p>
      <w:r>
        <w:t>Versioned bundle pattern</w:t>
      </w:r>
    </w:p>
    <w:p>
      <w:r>
        <w:t>https://raw.githubusercontent.com/mitre-attack/attack-stix-data/master/{domain}/{domain}-{version}.json</w:t>
      </w:r>
    </w:p>
    <w:p>
      <w:r>
        <w:t>Use the collection index to discover release identifiers and bundle locations; do not guess the latest version from a hardcoded number. Prefer a release specific file pinned to an approved Git commit for ingestion. Record release label commit SHA source URL downloadedAtUtc ETag content SHA256 schema validation version and object counts. A locally computed hash is a reproducibility check, not an upstream signature. The moving latest URL is for update discovery or explicitly controlled bootstrap, never a silent replacement of historical data. TAXII 2.1 can be added through the same importer interface, but GitHub JSON is the required initial source [S24].</w:t>
      </w:r>
    </w:p>
    <w:p>
      <w:pPr>
        <w:pStyle w:val="Heading3"/>
        <w:keepNext/>
      </w:pPr>
      <w:r>
        <w:rPr>
          <w:color w:val="000000"/>
        </w:rPr>
        <w:t>NET importer and publication algorithm</w:t>
      </w:r>
    </w:p>
    <w:p>
      <w:r>
        <w:t>Implement AttackCatalogueImporter as a .NET worker using HttpClientFactory and System.Text.Json. No third party STIX library is required for the initial normalisation path. Use typed known properties plus JsonExtensionData or preserved raw JSON for forward compatibility. Stream within configured size nesting depth object count timeout and memory limits. Only allow official configured repository paths and approved redirects. The catalogue sync worker has no customer source credentials and never sends tenant content to GitHub.</w:t>
      </w:r>
    </w:p>
    <w:p>
      <w:r>
        <w:t>Discover -&gt; Download -&gt; Validate -&gt; Stage -&gt; Diff -&gt; Approve -&gt; Activate</w:t>
      </w:r>
    </w:p>
    <w:p>
      <w:r>
        <w:t>1 Acquire one global domain lease; fetch index conditionally with ETag.</w:t>
      </w:r>
    </w:p>
    <w:p>
      <w:r>
        <w:t>2 Resolve approved domain release URL and commit; download bounded JSON.</w:t>
      </w:r>
    </w:p>
    <w:p>
      <w:r>
        <w:t>3 Verify bundle structure unique object versions and supported schema.</w:t>
      </w:r>
    </w:p>
    <w:p>
      <w:r>
        <w:t>4 Normalise objects and relationships in a new immutable snapshot.</w:t>
      </w:r>
    </w:p>
    <w:p>
      <w:r>
        <w:t>5 Validate technique IDs parent links tactic links and reference integrity.</w:t>
      </w:r>
    </w:p>
    <w:p>
      <w:r>
        <w:t>6 Produce additions changes revoked deprecated and removed object diff.</w:t>
      </w:r>
    </w:p>
    <w:p>
      <w:r>
        <w:t>7 Approver reviews change report; activate via atomic snapshot pointer.</w:t>
      </w:r>
    </w:p>
    <w:p>
      <w:r>
        <w:t>8 Invalidate catalogue caches; retain previous snapshot for rollback.</w:t>
      </w:r>
    </w:p>
    <w:p>
      <w:r>
        <w:t>On any failure keep last known good snapshot; alert and quarantine candidate.</w:t>
      </w:r>
    </w:p>
    <w:p>
      <w:r>
        <w:t>A proposed daily discovery check and on demand refresh detect updates; application schedulers own this process. Downloading a candidate does not change tenant mappings or production selectors. Persist import state and retry safe operations. Permit no-op imports with the same source hash. Resolve duplicate STIX objects by the release collection membership and version metadata, never array order. New unrecognised object types remain preserved but excluded from supported UI projections until parser validation. Schema changes requiring new semantics block activation with a useful report.</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STIX source</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Normalised behaviour</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attack-pattern</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Technique identity from STIX id and ATT&amp;CK external reference; name description platforms domain and object version retained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x_mitre_is_subtechnique and subtechnique-of relationship</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explicit relationship to construct parent child hierarchy; ID punctuation alone is not authoritative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kill_chain_phases and x-mitre-tactic</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Resolve tactic membership by domain and tactic short name; techniques may belong to multiple tactics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external_references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Select ATT&amp;CK namespace appropriate to the domain such as mitre-attack mitre-mobile-attack or mitre-ics-attack; preserve external ID and official URL</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revoked and x_mitre_deprecated</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Exclude from new default selection but keep historical identity description and snapshot references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course-of-action and mitigates relationship</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Offer official mitigation associations as context; do not equate an official mitigation with an implemented tenant control</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Other relationship and object types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Preserve raw source; project groups software campaigns detection strategies analytics and data components when present and supported by release schema</w:t>
            </w:r>
          </w:p>
        </w:tc>
      </w:tr>
    </w:tbl>
    <w:p>
      <w:pPr>
        <w:keepNext w:val="0"/>
        <w:keepLines w:val="0"/>
        <w:pageBreakBefore w:val="0"/>
        <w:spacing w:before="0" w:after="0" w:line="20" w:lineRule="exact"/>
      </w:pPr>
    </w:p>
    <w:p>
      <w:r>
        <w:t>Reference examples such as T1059 and T1059.001 illustrate technique and sub-technique formatting only; no static count or fixed taxonomy is assumed. A missing object in a later release is not an instruction to erase mappings. Revoked successor relationships are displayed when available; a proposed replacement requires review. Do not map by name alone or automatically migrate historical evidence to a new technique ID. MITRE data and attribution follow ATT&amp;CK terms; the MIT-only UI rule does not imply that this reference dataset is MIT licensed [S25].</w:t>
      </w:r>
    </w:p>
    <w:p>
      <w:pPr>
        <w:pStyle w:val="Heading3"/>
        <w:keepNext/>
      </w:pPr>
      <w:r>
        <w:rPr>
          <w:color w:val="000000"/>
        </w:rPr>
        <w:t>Catalogue persistence and tenant mapping models</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Collection and scope</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Fields and invariants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attack_catalogue_snapshots shared public control data</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snapshotId domain releaseLabel commitSha sourceUrl sourceHash importedAt state approvedBy counts; immutable after validation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attack_objects shared public control data</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snapshotId stixId modified externalId type name description domain objectVersion revoked deprecated platforms tacticRefs parentStixId rawJson; unique snapshotId stixId modified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attack_relationships shared public control data</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snapshotId stixId relationshipType sourceRef targetRef modified rawJson; validate endpoint existence within appropriate source set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attack_catalogue_settings tenant database</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domain enabled activeSnapshotId preferredRelease migrationState updatedBy revision; only approved global snapshots selectable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attack_mappings tenant database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mappingId subjectType subjectId subjectVersion domain snapshotId stixId externalId tacticContext assertionState origin evidenceRefs rationale confidence reviewedBy observedAt revision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security_controls tenant database</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controlId version name owner purpose detectPreventMitigate state scope testEvidence validationDate reviewDue mappingIds; no assumed effectiveness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attack_metric_facts tenant database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incidentId responseEpisode mappingId snapshotId externalId team priority detection and containment timestamps outcome eventRevision; idempotent projection</w:t>
            </w:r>
          </w:p>
        </w:tc>
      </w:tr>
    </w:tbl>
    <w:p>
      <w:pPr>
        <w:keepNext w:val="0"/>
        <w:keepLines w:val="0"/>
        <w:pageBreakBefore w:val="0"/>
        <w:spacing w:before="0" w:after="0" w:line="20" w:lineRule="exact"/>
      </w:pPr>
    </w:p>
    <w:p>
      <w:r>
        <w:t>Only public reference objects live in shared storage. Incident mappings customer controls evidence and tenant metrics remain in the separate tenant database. Mapping assertions are Suggested Suspected Confirmed or Rejected. Origin distinguishes Microsoft source analyst or AI. AI and imported alert labels are suggestions until validated under tenant policy; store score rationale and evidence. Every change requires UAM permission and an audit event. Incident links can store optional observed tactic context without claiming every tactic associated with a technique occurred.</w:t>
      </w:r>
    </w:p>
    <w:p>
      <w:pPr>
        <w:pStyle w:val="Heading3"/>
        <w:keepNext/>
      </w:pPr>
      <w:r>
        <w:rPr>
          <w:color w:val="000000"/>
        </w:rPr>
        <w:t>Incident and control selection workflows</w:t>
      </w:r>
    </w:p>
    <w:p>
      <w:r>
        <w:t>The incident workbench and control editor should provide a Radzen searchable multi-select by ID name tactic platform domain and parent technique. Display both external ID and name with expandable sub-techniques official reference link catalogue release and lifecycle badges. Users may select multiple techniques and sub-techniques. Selecting a parent does not select all children; selecting a child can support a parent rollup in reporting without adding a second explicit assertion. On save validate all IDs against the selected snapshot and the users authorised tenant. Do not fetch GitHub during each keystroke.</w:t>
      </w:r>
    </w:p>
    <w:p>
      <w:r>
        <w:t>Control records detection rules playbooks and response actions each support independent ATT&amp;CK mappings with relationship intent Detects Prevents Mitigates Investigates or RespondsTo. A playbook mapped to a technique does not prove coverage. Require configured deployed tested and observed effective states with asset scope validation evidence expiry and owner. Retain failed validation results and control versions. Incident response completion can propose an effectiveness observation but does not automatically certify control effectiveness or reduce risk.</w:t>
      </w:r>
    </w:p>
    <w:p>
      <w:r>
        <w:t>Microsoft source technique IDs are resolved through the local catalogue and preserve raw source values and provenance. Unknown IDs enter an unresolved mapping queue instead of being silently discarded. AI suggestions must cite incident evidence and catalogue references and use the shared confidence framework. An analyst accepts or rejects them; the AI cannot invent a technique ID outside the selected catalogue. Internet research may explain a technique but cannot overwrite official catalogue identities.</w:t>
      </w:r>
    </w:p>
    <w:p>
      <w:pPr>
        <w:pStyle w:val="Heading3"/>
        <w:keepNext/>
      </w:pPr>
      <w:r>
        <w:rPr>
          <w:color w:val="000000"/>
        </w:rPr>
        <w:t>Attack metrics and coverage dashboards</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Metric</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Definition and interpretation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counts and trends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Distinct canonical incidents with confirmed mapping per technique and time period; suspected shown separately; merged aliases not double counted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Tactic and parent rollup</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Distinct incident union across mapped children; one incident can appear in several categories; do not sum overlapping categories as global incident total</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Detection and containment time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Detection delay uses earliest credible activity time only when known; containment time uses verified action completion minus declared detection; unknown and negative intervals flagged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Response outcomes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Confirmed technique incident counts by contained recovered recurred and unresolved; response episode definitions shown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Control coverage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Count or percentage of selected relevant techniques with deployed and separately tested unexpired controls on the defined asset scope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Observed effectiveness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Verified control outcomes with numerator denominator evidence date scope and unknown results; mapping alone never counts as successful prevention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Coverage heatmap</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Tactic technique and sub-technique view with configured deployed tested observed and gap states; accessible labels and tenant filters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Mapping quality</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Unmapped incidents unresolved source IDs AI suggestions awaiting review deprecated mappings and catalogue freshness</w:t>
            </w:r>
          </w:p>
        </w:tc>
      </w:tr>
    </w:tbl>
    <w:p>
      <w:pPr>
        <w:keepNext w:val="0"/>
        <w:keepLines w:val="0"/>
        <w:pageBreakBefore w:val="0"/>
        <w:spacing w:before="0" w:after="0" w:line="20" w:lineRule="exact"/>
      </w:pPr>
    </w:p>
    <w:p>
      <w:r>
        <w:t>Metric queries accept tenant time range domain release priority team incident classification and asset scope. Authorise before aggregation, counts and exports. Pin the relevance set and snapshot in each report so catalogue updates do not silently alter denominators. Global technique percentages are not a maturity score. Coverage denominator is the approved relevant technique set; show exclusions scope and test freshness. A parent is fully covered only under a documented aggregation rule, never because one child is mapped. Incident metrics and control coverage remain separate series.</w:t>
      </w:r>
    </w:p>
    <w:p>
      <w:pPr>
        <w:pStyle w:val="Heading3"/>
        <w:keepNext/>
      </w:pPr>
      <w:r>
        <w:rPr>
          <w:color w:val="000000"/>
        </w:rPr>
        <w:t>Application contracts permissions tests and backlog</w:t>
      </w:r>
    </w:p>
    <w:p>
      <w:r>
        <w:t>Use internal application services IAttackCatalogueQuery IAttackMappingService and IAttackMetricsQuery for Blazor. Optional external controllers follow the existing exposure rule: GET /api/v1/reference/attack/techniques with query domain snapshotId tactic platform includeDeprecated cursor; PUT /api/v1/tenants/{t}/incidents/{i}/attack-mappings with If-Match; PUT /api/v1/tenants/{t}/controls/{c}/attack-mappings; GET /api/v1/tenants/{t}/attack/metrics. Administration import approve and activate commands are internal unless an external automation integration specifically needs them. Return snapshotId with every search and metric response.</w:t>
      </w:r>
    </w:p>
    <w:p>
      <w:r>
        <w:t>Permissions: attack.catalogue.read, attack.catalogue.import, attack.catalogue.approve, attack.mapping.read, attack.mapping.write, attack.mapping.confirm, attack.metrics.read, control.read, control.manage and control.validate. L1 may suggest within assigned incident scope; L2 and L3 may confirm only with the explicit UAM grant. Detection and security engineers maintain scoped controls; independent reviewers validate controls. Catalogue import and activation roles are separated. Customer users see only scoped incident and control mappings authorised by UAM.</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Test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Scenario</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Expected result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T49</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Import official versioned bundle twice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One immutable snapshot; stable identities and counts; no duplicate publication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T50</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Parent child tactic and multidomain identities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Correct relationships and namespace resolution; no ID collision across domains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T51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New release revokes deprecates or omits a mapped object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Existing incident mapping preserved with warning; new default selector excludes retired objects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T52</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GitHub offline truncated bundle schema change or invalid relationship</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Candidate rejected; prior catalogue remains searchable and usable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T53</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Map incident control rule playbook and response action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Independent versioned mappings with intent evidence permissions and audit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T54</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One incident maps parent child and two tactics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Rollups use distinct incidents; total and denominator remain accurate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T55</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 suggests unknown technique or customer queries another tenant metrics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Invalid suggestion blocked; no cross tenant counts or mappings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T56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Activate catalogue update during edit then rollback</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Save remains snapshot explicit; stale policy detected; history unchanged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T57</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Mapped control without deployment or current test evidence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Configured only; not reported as validated effective coverage</w:t>
            </w:r>
          </w:p>
        </w:tc>
      </w:tr>
    </w:tbl>
    <w:p>
      <w:pPr>
        <w:keepNext w:val="0"/>
        <w:keepLines w:val="0"/>
        <w:pageBreakBefore w:val="0"/>
        <w:spacing w:before="0" w:after="0" w:line="20" w:lineRule="exact"/>
      </w:pPr>
    </w:p>
    <w:p>
      <w:pPr>
        <w:pStyle w:val="Heading3"/>
        <w:keepNext/>
      </w:pPr>
      <w:r>
        <w:rPr>
          <w:color w:val="000000"/>
        </w:rPr>
        <w:t>Primary references for this capability</w:t>
      </w:r>
    </w:p>
    <w:p>
      <w:r>
        <w:t>S23 MITRE official ATT&amp;CK STIX data repository and release index. https://github.com/mitre-attack/attack-stix-data</w:t>
      </w:r>
    </w:p>
    <w:p>
      <w:r>
        <w:t>S24 MITRE official usage guide and data access patterns. https://github.com/mitre-attack/attack-stix-data/blob/master/USAGE.md</w:t>
      </w:r>
    </w:p>
    <w:p>
      <w:r>
        <w:t>S25 MITRE ATT&amp;CK Data and Tools and terms. https://attack.mitre.org/resources/attack-data-and-tools/ and https://attack.mitre.org/resources/terms-of-use/</w:t>
      </w:r>
    </w:p>
    <w:p>
      <w:pPr>
        <w:pStyle w:val="Heading2"/>
        <w:keepNext/>
      </w:pPr>
      <w:r>
        <w:rPr>
          <w:color w:val="000000"/>
        </w:rPr>
        <w:t>M08 ATTACK lifecycle refinement</w:t>
      </w:r>
    </w:p>
    <w:p>
      <w:r>
        <w:t>M08 V5 1 Keep domain version snapshot commit hash object history and explicit subtechnique relationships. Detection Strategies Analytics and Data Components are supported object families; x-mitre-data-source was deprecated in v18 and remains readable for historical mappings. Discover the current approved release rather than pinning the dataset to v18.</w:t>
      </w:r>
    </w:p>
    <w:p>
      <w:r>
        <w:t>M08 V5 2 Use source or analyst assertions with evidence and review state; a technique mapped to a control is not proof of effective coverage. Report observed incidents deployed controls validated detection and untested mappings separately.</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M08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Official catalogue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Synchronise official MITRE STIX JSON release index domain bundles IDs sub-techniques and relationships with local approved versions.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M08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Mappings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searchable multi select for tactics techniques sub-techniques on incidents controls rules playbooks and response actions.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M08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Control register</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Store owner purpose scope implementation state test evidence effectiveness observations review due and ATTACK mapping intent.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M08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Lifecycle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Preserve retired catalogue mappings historical versions and AI suggestion evidence; require review before confirmation.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M08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Coverage outputs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Publish scoped mapping and control evidence facts to reporting without equating configured mapping to effective protection.</w:t>
            </w:r>
          </w:p>
        </w:tc>
      </w:tr>
    </w:tbl>
    <w:p>
      <w:bookmarkStart w:id="32" w:name="orca_ch_032"/>
      <w:pPr>
        <w:pStyle w:val="Tenant_Heading1"/>
      </w:pPr>
      <w:r>
        <w:t>M08 ATTACK and controls settings</w:t>
      </w:r>
      <w:bookmarkEnd w:id="32"/>
    </w:p>
    <w:p>
      <w:r>
        <w:t>ECFG M08 | Required dependencies: M01 M02; incident/asset linkage optional.</w:t>
      </w:r>
    </w:p>
    <w:p>
      <w:r>
        <w:t>Permission boundary: attack.catalogue.read/import/approve, attack.mapping.write, control.manage/validate.</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taxonomyReleaseRef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Pin approved ATT&amp;CK release and source provenance; no floating silent taxonomy replacement.</w:t>
            </w:r>
          </w:p>
        </w:tc>
      </w:tr>
      <w:tr>
        <w:trPr>
          <w:cantSplit/>
        </w:trPr>
        <w:tc>
          <w:tcPr>
            <w:tcW w:type="dxa" w:w="2448"/>
          </w:tcPr>
          <w:p>
            <w:pPr>
              <w:spacing w:after="60" w:before="40" w:line="240" w:lineRule="auto"/>
            </w:pPr>
            <w:r>
              <w:rPr>
                <w:sz w:val="18"/>
              </w:rPr>
              <w:t>updateMode</w:t>
            </w:r>
          </w:p>
        </w:tc>
        <w:tc>
          <w:tcPr>
            <w:tcW w:type="dxa" w:w="2016"/>
          </w:tcPr>
          <w:p>
            <w:pPr>
              <w:spacing w:after="60" w:before="40" w:line="240" w:lineRule="auto"/>
            </w:pPr>
            <w:r>
              <w:rPr>
                <w:sz w:val="18"/>
              </w:rPr>
              <w:t>enum; Reviewed</w:t>
            </w:r>
          </w:p>
        </w:tc>
        <w:tc>
          <w:tcPr>
            <w:tcW w:type="dxa" w:w="5400"/>
          </w:tcPr>
          <w:p>
            <w:pPr>
              <w:spacing w:after="60" w:before="40" w:line="240" w:lineRule="auto"/>
            </w:pPr>
            <w:r>
              <w:rPr>
                <w:sz w:val="18"/>
              </w:rPr>
              <w:t>Reviewed/Manual only where registered; imported content remains untrusted until accepted.</w:t>
            </w:r>
          </w:p>
        </w:tc>
      </w:tr>
      <w:tr>
        <w:trPr>
          <w:cantSplit/>
        </w:trPr>
        <w:tc>
          <w:tcPr>
            <w:tcW w:type="dxa" w:w="2448"/>
          </w:tcPr>
          <w:p>
            <w:pPr>
              <w:spacing w:after="60" w:before="40" w:line="240" w:lineRule="auto"/>
            </w:pPr>
            <w:r>
              <w:rPr>
                <w:sz w:val="18"/>
              </w:rPr>
              <w:t>importPolicyRef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Bounded JSON/type validation, source hash and independent approval rules.</w:t>
            </w:r>
          </w:p>
        </w:tc>
      </w:tr>
      <w:tr>
        <w:trPr>
          <w:cantSplit/>
        </w:trPr>
        <w:tc>
          <w:tcPr>
            <w:tcW w:type="dxa" w:w="2448"/>
          </w:tcPr>
          <w:p>
            <w:pPr>
              <w:spacing w:after="60" w:before="40" w:line="240" w:lineRule="auto"/>
            </w:pPr>
            <w:r>
              <w:rPr>
                <w:sz w:val="18"/>
              </w:rPr>
              <w:t>mappingPolicyRef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Versioned technique/control mappings and obsolete-ID migration semantics.</w:t>
            </w:r>
          </w:p>
        </w:tc>
      </w:tr>
      <w:tr>
        <w:trPr>
          <w:cantSplit/>
        </w:trPr>
        <w:tc>
          <w:tcPr>
            <w:tcW w:type="dxa" w:w="2448"/>
          </w:tcPr>
          <w:p>
            <w:pPr>
              <w:spacing w:after="60" w:before="40" w:line="240" w:lineRule="auto"/>
            </w:pPr>
            <w:r>
              <w:rPr>
                <w:sz w:val="18"/>
              </w:rPr>
              <w:t>controlOwnerRefs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Eligible scoped owners; require a valid owner before publishing assigned controls.</w:t>
            </w:r>
          </w:p>
        </w:tc>
      </w:tr>
      <w:tr>
        <w:trPr>
          <w:cantSplit/>
        </w:trPr>
        <w:tc>
          <w:tcPr>
            <w:tcW w:type="dxa" w:w="2448"/>
          </w:tcPr>
          <w:p>
            <w:pPr>
              <w:spacing w:after="60" w:before="40" w:line="240" w:lineRule="auto"/>
            </w:pPr>
            <w:r>
              <w:rPr>
                <w:sz w:val="18"/>
              </w:rPr>
              <w:t>coverageDefinitionRef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Distinguish measured, untested and unavailable coverage; compatible observation windows.</w:t>
            </w:r>
          </w:p>
        </w:tc>
      </w:tr>
      <w:tr>
        <w:trPr>
          <w:cantSplit/>
        </w:trPr>
        <w:tc>
          <w:tcPr>
            <w:tcW w:type="dxa" w:w="2448"/>
          </w:tcPr>
          <w:p>
            <w:pPr>
              <w:spacing w:after="60" w:before="40" w:line="240" w:lineRule="auto"/>
            </w:pPr>
            <w:r>
              <w:rPr>
                <w:sz w:val="18"/>
              </w:rPr>
              <w:t>linkCapabilities</w:t>
            </w:r>
          </w:p>
        </w:tc>
        <w:tc>
          <w:tcPr>
            <w:tcW w:type="dxa" w:w="2016"/>
          </w:tcPr>
          <w:p>
            <w:pPr>
              <w:spacing w:after="60" w:before="40" w:line="240" w:lineRule="auto"/>
            </w:pPr>
            <w:r>
              <w:rPr>
                <w:sz w:val="18"/>
              </w:rPr>
              <w:t>enum[]; empty</w:t>
            </w:r>
          </w:p>
        </w:tc>
        <w:tc>
          <w:tcPr>
            <w:tcW w:type="dxa" w:w="5400"/>
          </w:tcPr>
          <w:p>
            <w:pPr>
              <w:spacing w:after="60" w:before="40" w:line="240" w:lineRule="auto"/>
            </w:pPr>
            <w:r>
              <w:rPr>
                <w:sz w:val="18"/>
              </w:rPr>
              <w:t>Incident/asset links appear only when the corresponding module and resource access are available.</w:t>
            </w:r>
          </w:p>
        </w:tc>
      </w:tr>
    </w:tbl>
    <w:p>
      <w:pPr>
        <w:pStyle w:val="Tenant_Heading2"/>
      </w:pPr>
      <w:r>
        <w:t>Lifecycle and integration</w:t>
      </w:r>
    </w:p>
    <w:p>
      <w:r>
        <w:t>A taxonomy update creates new versioned mappings and re-evaluation, not destructive overwrites of historical evidence. Off retains mapping and provenance histories.</w:t>
      </w:r>
    </w:p>
    <w:p>
      <w:pPr>
        <w:pStyle w:val="Tenant_Heading2"/>
      </w:pPr>
      <w:r>
        <w:t>Engine acceptance scenario</w:t>
      </w:r>
    </w:p>
    <w:p>
      <w:r>
        <w:t>ECFG M08 AC: Test malformed taxonomy, removed technique mapping, independent publication, optional incident absence and unavailable evidence not counted as coverage.</w:t>
      </w:r>
    </w:p>
    <w:p>
      <w:r>
        <w:t>All common TSET/NAV gates apply. Values and references are server-validated in the selected tenant; generic settings edits never replace the owning engine’s publication or approval workflow.</w:t>
      </w:r>
    </w:p>
    <w:p>
      <w:bookmarkStart w:id="33" w:name="orca_ch_033"/>
      <w:pPr>
        <w:pStyle w:val="Heading1"/>
        <w:keepNext/>
        <w:pageBreakBefore/>
      </w:pPr>
      <w:r>
        <w:rPr>
          <w:color w:val="000000"/>
        </w:rPr>
        <w:t>M09 Team shift and routing engine</w:t>
      </w:r>
      <w:bookmarkEnd w:id="33"/>
    </w:p>
    <w:p>
      <w:r>
        <w:t>Assign work fairly with primary backup coverage and traceable handover.</w:t>
      </w:r>
    </w:p>
    <w:p>
      <w:r>
        <w:t>Dependencies: M01 M02; consumes routable work from available engines</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Teams and resources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Maintain skills capacity eligibility tenant team scopes primary backup escalation owners and availability.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Rosters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Manage shifts time zones leave DST exceptions and cover warnings.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Round robin</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Apply deterministic eligible round robin assignment with concurrency safe ownership and acknowledgement.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Escalation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Warn primary backup and lead on missing coverage unacknowledged work SLA risk and failed notification delivery.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Handover</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Transfer outstanding incidents approvals and unknown action outcomes with incoming acknowledgement.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Reusable routing</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Expose routing for incident change and problem work without requiring all those engines to be installed.</w:t>
            </w:r>
          </w:p>
        </w:tc>
      </w:tr>
    </w:tbl>
    <w:p>
      <w:pPr>
        <w:keepNext w:val="0"/>
        <w:keepLines w:val="0"/>
        <w:pageBreakBefore w:val="0"/>
        <w:spacing w:before="0" w:after="0" w:line="20" w:lineRule="exact"/>
      </w:pPr>
    </w:p>
    <w:p>
      <w:pPr>
        <w:pStyle w:val="Heading2"/>
        <w:keepNext/>
      </w:pPr>
      <w:r>
        <w:rPr>
          <w:color w:val="000000"/>
        </w:rPr>
        <w:t>Required workflow</w:t>
      </w:r>
    </w:p>
    <w:p>
      <w:r>
        <w:t>Classify work -&gt; select team -&gt; eligible primary -&gt; backup -&gt; assignment and acknowledgement -&gt; escalation or handover.</w:t>
      </w:r>
    </w:p>
    <w:p>
      <w:pPr>
        <w:pStyle w:val="Heading2"/>
        <w:keepNext/>
      </w:pPr>
      <w:r>
        <w:rPr>
          <w:color w:val="000000"/>
        </w:rPr>
        <w:t>Acceptance criteria</w:t>
      </w:r>
    </w:p>
    <w:p>
      <w:pPr>
        <w:pStyle w:val="ListBullet"/>
      </w:pPr>
      <w:r>
        <w:t>M09 AC1 Concurrent assignments produce one current owner and fair round robin distribution.</w:t>
      </w:r>
    </w:p>
    <w:p>
      <w:pPr>
        <w:pStyle w:val="ListBullet"/>
      </w:pPr>
      <w:r>
        <w:t>M09 AC2 No eligible resource leaves explicit unassigned work and warnings.</w:t>
      </w:r>
    </w:p>
    <w:p>
      <w:pPr>
        <w:pStyle w:val="ListBullet"/>
      </w:pPr>
      <w:r>
        <w:t>M09 AC3 DST changes do not silently omit or duplicate shift cover.</w:t>
      </w:r>
    </w:p>
    <w:p>
      <w:pPr>
        <w:pStyle w:val="ListBullet"/>
      </w:pPr>
      <w:r>
        <w:t>M09 AC4 A late acknowledgement cannot overwrite reassigned ownership.</w:t>
      </w:r>
    </w:p>
    <w:p>
      <w:pPr>
        <w:pStyle w:val="Heading2"/>
        <w:keepNext/>
      </w:pPr>
      <w:r>
        <w:rPr>
          <w:color w:val="000000"/>
        </w:rPr>
        <w:t>Suggested data responsibilities</w:t>
      </w:r>
    </w:p>
    <w:p>
      <w:r>
        <w:t>Team Resource Skill ShiftOccurrence Availability AssignmentLease RoutingRule Escalation and Handover.</w:t>
      </w:r>
    </w:p>
    <w:p>
      <w:pPr>
        <w:pStyle w:val="Heading2"/>
        <w:keepNext/>
      </w:pPr>
      <w:r>
        <w:rPr>
          <w:color w:val="000000"/>
        </w:rPr>
        <w:t>Suggested implementation direction</w:t>
      </w:r>
    </w:p>
    <w:p>
      <w:r>
        <w:t>A reusable work reference contract and a versioned timezone aware roster simplify engine reuse. Exact timing and weighted alternatives are tenant configuration rather than fixed technical commitments.</w:t>
      </w:r>
    </w:p>
    <w:p>
      <w:pPr>
        <w:pStyle w:val="Heading2"/>
        <w:keepNext/>
      </w:pPr>
      <w:r>
        <w:rPr>
          <w:color w:val="000000"/>
        </w:rPr>
        <w:t>Research before development</w:t>
      </w:r>
    </w:p>
    <w:p>
      <w:r>
        <w:t>Confirm business calendars SLA agreements shift source notification channels and which work types share team capacity.</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Team configuration includes tenant scope, skill tags, severity eligibility, primary and backup teams, escalation manager, time zone, roster, leave, training status and maximum concurrent workload. Resources have active status, availability, capacity and required qualifications. Customer visibility and operator routing are independent. Assignment does not grant permission: UAM scope must already permit the assigned resource to access the incident.</w:t>
      </w:r>
    </w:p>
    <w:p>
      <w:r>
        <w:t>route(workReference, now):</w:t>
      </w:r>
    </w:p>
    <w:p>
      <w:r>
        <w:t xml:space="preserve">  rules = enabled tenant rules ordered by explicit priority then stable ruleId</w:t>
      </w:r>
    </w:p>
    <w:p>
      <w:r>
        <w:t xml:space="preserve">  team = first matching rule on product, category, severity, asset and customer</w:t>
      </w:r>
    </w:p>
    <w:p>
      <w:r>
        <w:t xml:space="preserve">  candidates = team members with UAM scope, required skill, active shift,</w:t>
      </w:r>
    </w:p>
    <w:p>
      <w:r>
        <w:t xml:space="preserve">               available status, no leave, and capacity remaining</w:t>
      </w:r>
    </w:p>
    <w:p>
      <w:r>
        <w:t xml:space="preserve">  if empty: evaluate configured backup team under the same constraints</w:t>
      </w:r>
    </w:p>
    <w:p>
      <w:r>
        <w:t xml:space="preserve">  if empty: publish unassigned outcome to owner; warn primary + backup + shift lead</w:t>
      </w:r>
    </w:p>
    <w:p>
      <w:r>
        <w:t xml:space="preserve">  else: lock tenant/team routing cursor with compare and swap</w:t>
      </w:r>
    </w:p>
    <w:p>
      <w:r>
        <w:t xml:space="preserve">        choose next eligible member in stable cyclic order after cursor</w:t>
      </w:r>
    </w:p>
    <w:p>
      <w:r>
        <w:t xml:space="preserve">        commit M09 cursor + lease + assignment proposal; owner conditionally applies WorkReference revision</w:t>
      </w:r>
    </w:p>
    <w:p>
      <w:r>
        <w:t xml:space="preserve">        notify; await acknowledgement deadline; escalate if unacknowledged</w:t>
      </w:r>
    </w:p>
    <w:p>
      <w:r>
        <w:t>Round robin is the default confirmed algorithm. An optional weighted mode uses severity effort units and capacity, but requires tenant selection. De-duplicate route evaluations by incident and routing generation. A late acknowledgement of an expired lease cannot reclaim a reassigned incident. Reassignment records previous owner, reason, outstanding approvals and source assignment sync. Primary unavailable triggers backup immediately and a coverage warning; both unavailable triggers the escalation queue. Notifications are delivery tracked and acknowledgement is a separate authenticated event.</w:t>
      </w:r>
    </w:p>
    <w:p>
      <w:r>
        <w:t>Persist shift occurrences as UTC intervals generated from an IANA zone. DST gaps require explicit skip or move rule; repeated times require earlier or later offset selection. Handover begins at a configurable proposed 15 minutes before shift end; list active P1/P2 tasks unknown action outcomes pending approvals and sync failures. Outgoing and incoming leads acknowledge. P1 ownership never silently drops when a shift ends. Preserve owner until successor acknowledgement or shift lead takeover.</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Priority</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Proposed acknowledgement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Escalation and timer rule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P1 critical business impact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5 minutes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Primary then backup at deadline; lead alert immediately on coverage gap</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P2 high</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15 minutes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Backup at deadline then manager per tenant policy</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P3 medium</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60 minutes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Queue warning before breach</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P4 low</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4 business hours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configured business calendar</w:t>
            </w:r>
          </w:p>
        </w:tc>
      </w:tr>
    </w:tbl>
    <w:p>
      <w:pPr>
        <w:keepNext w:val="0"/>
        <w:keepLines w:val="0"/>
        <w:pageBreakBefore w:val="0"/>
        <w:spacing w:before="0" w:after="0" w:line="20" w:lineRule="exact"/>
      </w:pPr>
    </w:p>
    <w:p>
      <w:r>
        <w:t>SLA values are proposed, not previously agreed. Compute elapsed service time from immutable timer events and business calendar version. No silent timer reset on reassignment. Pauses require an allowed reason and approval; P1 clock runs continuously by default. Report acknowledgement investigation containment recovery and closure separately, plus unassigned duration and coverage gaps.</w:t>
      </w:r>
    </w:p>
    <w:p>
      <w:pPr>
        <w:pStyle w:val="Heading2"/>
        <w:keepNext/>
      </w:pPr>
      <w:r>
        <w:rPr>
          <w:color w:val="000000"/>
        </w:rPr>
        <w:t>M09 WorkReference assignment design</w:t>
      </w:r>
    </w:p>
    <w:p>
      <w:r>
        <w:t>M09 V5 1 Route any owning module work through WorkReference and conditional owner ports. The M09 cursor and lease transaction emits an assignment proposal; the owner applies the proposal only at the expected revision and acknowledges it. Conflicting owner change expires or requeues the lease without altering another engine data.</w:t>
      </w:r>
    </w:p>
    <w:p>
      <w:r>
        <w:t>M09 V5 2 Test DST gaps overlaps leave capacity primary and backup absence concurrent claims acknowledgement timeout stale owner revision and non-incident work. Operator-held notification acknowledgements are the only delivery evidence used by escalation decisions.</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M09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Teams and resources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Maintain skills capacity eligibility tenant team scopes primary backup escalation owners and availability.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M09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Rosters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Manage shifts time zones leave DST exceptions and cover warnings.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M09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Round robin</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Apply deterministic eligible round robin assignment with concurrency safe ownership and acknowledgement.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M09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Escalation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Warn primary backup and lead on missing coverage unacknowledged work SLA risk and failed notification delivery.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M09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Handover</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Transfer outstanding incidents approvals and unknown action outcomes with incoming acknowledgement.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M09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Reusable routing</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Expose routing for incident change and problem work without requiring all those engines to be installed.</w:t>
            </w:r>
          </w:p>
        </w:tc>
      </w:tr>
    </w:tbl>
    <w:p>
      <w:bookmarkStart w:id="34" w:name="orca_ch_034"/>
      <w:pPr>
        <w:pStyle w:val="Tenant_Heading1"/>
      </w:pPr>
      <w:r>
        <w:t>M09 Teams shifts and routing settings</w:t>
      </w:r>
      <w:bookmarkEnd w:id="34"/>
    </w:p>
    <w:p>
      <w:r>
        <w:t>ECFG M09 | Required dependencies: M01 M02; work is supplied by an enabled owning engine.</w:t>
      </w:r>
    </w:p>
    <w:p>
      <w:r>
        <w:t>Permission boundary: roster.read/manage, routing.configure/assign/acknowledge.</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teamRefs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Shared approved groups/eligibility registry; do not create a separate ITSM identity directory.</w:t>
            </w:r>
          </w:p>
        </w:tc>
      </w:tr>
      <w:tr>
        <w:trPr>
          <w:cantSplit/>
        </w:trPr>
        <w:tc>
          <w:tcPr>
            <w:tcW w:type="dxa" w:w="2448"/>
          </w:tcPr>
          <w:p>
            <w:pPr>
              <w:spacing w:after="60" w:before="40" w:line="240" w:lineRule="auto"/>
            </w:pPr>
            <w:r>
              <w:rPr>
                <w:sz w:val="18"/>
              </w:rPr>
              <w:t>skillPolicyRef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Required skills and scope eligibility for each WorkReference type.</w:t>
            </w:r>
          </w:p>
        </w:tc>
      </w:tr>
      <w:tr>
        <w:trPr>
          <w:cantSplit/>
        </w:trPr>
        <w:tc>
          <w:tcPr>
            <w:tcW w:type="dxa" w:w="2448"/>
          </w:tcPr>
          <w:p>
            <w:pPr>
              <w:spacing w:after="60" w:before="40" w:line="240" w:lineRule="auto"/>
            </w:pPr>
            <w:r>
              <w:rPr>
                <w:sz w:val="18"/>
              </w:rPr>
              <w:t>calendarRefs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Shift/leave/on-call calendars with explicit time zone and DST behaviour.</w:t>
            </w:r>
          </w:p>
        </w:tc>
      </w:tr>
      <w:tr>
        <w:trPr>
          <w:cantSplit/>
        </w:trPr>
        <w:tc>
          <w:tcPr>
            <w:tcW w:type="dxa" w:w="2448"/>
          </w:tcPr>
          <w:p>
            <w:pPr>
              <w:spacing w:after="60" w:before="40" w:line="240" w:lineRule="auto"/>
            </w:pPr>
            <w:r>
              <w:rPr>
                <w:sz w:val="18"/>
              </w:rPr>
              <w:t>capacityPolicyRef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Per-member/team workload limits and fairness; must respect tenant worker ceilings.</w:t>
            </w:r>
          </w:p>
        </w:tc>
      </w:tr>
      <w:tr>
        <w:trPr>
          <w:cantSplit/>
        </w:trPr>
        <w:tc>
          <w:tcPr>
            <w:tcW w:type="dxa" w:w="2448"/>
          </w:tcPr>
          <w:p>
            <w:pPr>
              <w:spacing w:after="60" w:before="40" w:line="240" w:lineRule="auto"/>
            </w:pPr>
            <w:r>
              <w:rPr>
                <w:sz w:val="18"/>
              </w:rPr>
              <w:t>routingMode</w:t>
            </w:r>
          </w:p>
        </w:tc>
        <w:tc>
          <w:tcPr>
            <w:tcW w:type="dxa" w:w="2016"/>
          </w:tcPr>
          <w:p>
            <w:pPr>
              <w:spacing w:after="60" w:before="40" w:line="240" w:lineRule="auto"/>
            </w:pPr>
            <w:r>
              <w:rPr>
                <w:sz w:val="18"/>
              </w:rPr>
              <w:t>enum; inherit</w:t>
            </w:r>
          </w:p>
        </w:tc>
        <w:tc>
          <w:tcPr>
            <w:tcW w:type="dxa" w:w="5400"/>
          </w:tcPr>
          <w:p>
            <w:pPr>
              <w:spacing w:after="60" w:before="40" w:line="240" w:lineRule="auto"/>
            </w:pPr>
            <w:r>
              <w:rPr>
                <w:sz w:val="18"/>
              </w:rPr>
              <w:t>Registered fair assignment strategy; preserve cursor/version for idempotent proposals.</w:t>
            </w:r>
          </w:p>
        </w:tc>
      </w:tr>
      <w:tr>
        <w:trPr>
          <w:cantSplit/>
        </w:trPr>
        <w:tc>
          <w:tcPr>
            <w:tcW w:type="dxa" w:w="2448"/>
          </w:tcPr>
          <w:p>
            <w:pPr>
              <w:spacing w:after="60" w:before="40" w:line="240" w:lineRule="auto"/>
            </w:pPr>
            <w:r>
              <w:rPr>
                <w:sz w:val="18"/>
              </w:rPr>
              <w:t>backupEscalationRef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Primary, backup and duty manager; no eligible analyst leaves work unassigned with a visible escalation.</w:t>
            </w:r>
          </w:p>
        </w:tc>
      </w:tr>
      <w:tr>
        <w:trPr>
          <w:cantSplit/>
        </w:trPr>
        <w:tc>
          <w:tcPr>
            <w:tcW w:type="dxa" w:w="2448"/>
          </w:tcPr>
          <w:p>
            <w:pPr>
              <w:spacing w:after="60" w:before="40" w:line="240" w:lineRule="auto"/>
            </w:pPr>
            <w:r>
              <w:rPr>
                <w:sz w:val="18"/>
              </w:rPr>
              <w:t>leasePolicyRef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Assignment lease expiry, owner revision check and acknowledgement; M09 never writes another engine’s record directly.</w:t>
            </w:r>
          </w:p>
        </w:tc>
      </w:tr>
    </w:tbl>
    <w:p>
      <w:pPr>
        <w:pStyle w:val="Tenant_Heading2"/>
      </w:pPr>
      <w:r>
        <w:t>Lifecycle and integration</w:t>
      </w:r>
    </w:p>
    <w:p>
      <w:r>
        <w:t>Stopping routing retains cursors and leases. Owning engines finalise/expire proposals through ports; a resumed lease cannot assign a now-ineligible user.</w:t>
      </w:r>
    </w:p>
    <w:p>
      <w:pPr>
        <w:pStyle w:val="Tenant_Heading2"/>
      </w:pPr>
      <w:r>
        <w:t>Engine acceptance scenario</w:t>
      </w:r>
    </w:p>
    <w:p>
      <w:r>
        <w:t>ECFG M09 AC: Test all staff off shift, last-slot concurrent assignment, lease timeout, work revision change and absence of an unrelated incident engine.</w:t>
      </w:r>
    </w:p>
    <w:p>
      <w:r>
        <w:t>All common TSET/NAV gates apply. Values and references are server-validated in the selected tenant; generic settings edits never replace the owning engine’s publication or approval workflow.</w:t>
      </w:r>
    </w:p>
    <w:p>
      <w:bookmarkStart w:id="35" w:name="orca_ch_035"/>
      <w:pPr>
        <w:pStyle w:val="Heading1"/>
        <w:keepNext/>
        <w:pageBreakBefore w:val="0"/>
      </w:pPr>
      <w:r>
        <w:rPr>
          <w:color w:val="000000"/>
        </w:rPr>
        <w:t>M10 AI and chat engine</w:t>
      </w:r>
      <w:bookmarkEnd w:id="35"/>
    </w:p>
    <w:p>
      <w:r>
        <w:t>Provide governed cloud or local investigation and chat with authorised document and internet references.</w:t>
      </w:r>
    </w:p>
    <w:p>
      <w:r>
        <w:t>Dependencies: M01 M02 M11; File Store for library sources</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Provider modes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Support Azure OpenAI local OpenAI compatible services and explicit CloudOnly LocalOnly or approved hybrid routes.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Generate evidence linked hypotheses notes classification recommendations and suggested actions with limits and analyst review.</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Chat</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 standalone and incident chat with authorised uploaded documents internet research or combined answers and explicit source mode.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Citations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Annotate factual claims with used file version page or section or web URL retrieval time; verify references.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Confidence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Display evidence support score factors limitations and calibrated quality evaluation; abstain when evidence is insufficient.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Safe retrieval</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Qdrant and source ACL gates redaction prompt injection controls permitted web queries and provider restrictions.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Optional datasets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Run approved web or general chat without File Store; library mode requires File Store and incident enrichment requires incident permissions.</w:t>
            </w:r>
          </w:p>
        </w:tc>
      </w:tr>
    </w:tbl>
    <w:p>
      <w:pPr>
        <w:keepNext w:val="0"/>
        <w:keepLines w:val="0"/>
        <w:pageBreakBefore w:val="0"/>
        <w:spacing w:before="0" w:after="0" w:line="20" w:lineRule="exact"/>
      </w:pPr>
    </w:p>
    <w:p>
      <w:pPr>
        <w:pStyle w:val="Heading2"/>
        <w:keepNext/>
      </w:pPr>
      <w:r>
        <w:rPr>
          <w:color w:val="000000"/>
        </w:rPr>
        <w:t>Required workflow</w:t>
      </w:r>
    </w:p>
    <w:p>
      <w:r>
        <w:t>Authorise sources and model -&gt; reserve budget -&gt; retrieve permitted evidence -&gt; generate -&gt; verify annotations and confidence -&gt; present and settle usage.</w:t>
      </w:r>
    </w:p>
    <w:p>
      <w:pPr>
        <w:pStyle w:val="Heading2"/>
        <w:keepNext/>
      </w:pPr>
      <w:r>
        <w:rPr>
          <w:color w:val="000000"/>
        </w:rPr>
        <w:t>Acceptance criteria</w:t>
      </w:r>
    </w:p>
    <w:p>
      <w:pPr>
        <w:pStyle w:val="ListBullet"/>
      </w:pPr>
      <w:r>
        <w:t>M10 AC1 LocalOnly never silently invokes cloud inference.</w:t>
      </w:r>
    </w:p>
    <w:p>
      <w:pPr>
        <w:pStyle w:val="ListBullet"/>
      </w:pPr>
      <w:r>
        <w:t>M10 AC2 Restricted files and derived conversation history cannot bypass updated ACL.</w:t>
      </w:r>
    </w:p>
    <w:p>
      <w:pPr>
        <w:pStyle w:val="ListBullet"/>
      </w:pPr>
      <w:r>
        <w:t>M10 AC3 Every material factual claim has a verified source or explicit uncertainty.</w:t>
      </w:r>
    </w:p>
    <w:p>
      <w:pPr>
        <w:pStyle w:val="ListBullet"/>
      </w:pPr>
      <w:r>
        <w:t>M10 AC4 AI cannot approve its own response or change or bypass policy.</w:t>
      </w:r>
    </w:p>
    <w:p>
      <w:pPr>
        <w:pStyle w:val="Heading2"/>
        <w:keepNext/>
      </w:pPr>
      <w:r>
        <w:rPr>
          <w:color w:val="000000"/>
        </w:rPr>
        <w:t>Suggested data responsibilities</w:t>
      </w:r>
    </w:p>
    <w:p>
      <w:r>
        <w:t>ModelPolicy ProviderCapability Conversation Message Citation RetrievalRun AiFinding ConfidenceEvaluation and ModelEvaluation.</w:t>
      </w:r>
    </w:p>
    <w:p>
      <w:pPr>
        <w:pStyle w:val="Heading2"/>
        <w:keepNext/>
      </w:pPr>
      <w:r>
        <w:rPr>
          <w:color w:val="000000"/>
        </w:rPr>
        <w:t>Suggested implementation direction</w:t>
      </w:r>
    </w:p>
    <w:p>
      <w:r>
        <w:t>Use a provider gateway and authorised tool broker with tenant isolated Qdrant collections on an Azure VM. LocalOnly must support the entire AI pipeline including embeddings and any AI based extraction or reranking. Prove chat and indexing work with cloud AI egress denied; missing local capabilities fail explicitly. Run durable jobs outside Blazor circuits.</w:t>
      </w:r>
    </w:p>
    <w:p>
      <w:pPr>
        <w:pStyle w:val="Heading2"/>
        <w:keepNext/>
      </w:pPr>
      <w:r>
        <w:rPr>
          <w:color w:val="000000"/>
        </w:rPr>
        <w:t>Research before development</w:t>
      </w:r>
    </w:p>
    <w:p>
      <w:r>
        <w:t>Confirm approved models hardware quality thresholds search provider query privacy residency data terms local authentication and endpoint compatibility.</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Provider abstraction supports Azure OpenAI and customer local OpenAI compatible endpoints such as LM Studio. Interfaces: GenerateStructured, Embed, Health and Capabilities. Model identity includes provider deployment name version context limit embedding dimension tool support residency and data policy. Do not assume compatible JSON schemas tools embeddings or streaming across providers. Provider adapters validate capabilities and reject unsupported requests. Local mode is a deployable private inference service with authentication concurrency limits service supervision and health checks; a desktop session alone is not a production availability design.</w:t>
      </w:r>
    </w:p>
    <w:p>
      <w:r>
        <w:t>Tenant policies select CloudOnly LocalOnly or ApprovedHybrid. LocalOnly acceptance: run generation embeddings and any AI based extraction classification or reranking entirely through approved local models. No prompt document passage embedding inference trace or fallback request may reach Azure OpenAI or another cloud AI service. Missing local capabilities block that feature with a visible reason. Test by denying cloud AI egress and exercising chat document indexing retrieval and incident assistance. The Azure hosted application and separately authorised connector or internet research traffic remain governed by their own data and egress policy; LocalOnly does not imply that the whole platform is hosted on premises. ApprovedHybrid specifies permitted data classes and routes. Redact secrets and unnecessary personal identifiers. Retrieved content is untrusted data; model output cannot grant permissions approve actions or call raw source APIs.</w:t>
      </w:r>
    </w:p>
    <w:p>
      <w:r>
        <w:t>Investigation pipeline: deterministic enrichment and evidence collection; retrieve scoped knowledge; generate hypotheses and suggested queries; validate queries against tables time window cost and read only allowlist; run through authorised query broker; produce structured findings with fact evidence references uncertainty severity recommendation NIST stage and proposed tasks; schema validate and apply safety policy; publish AI labelled notes with model and policy provenance. Unsupported claims are flagged for analyst review. The model must abstain when evidence is missing or contradictory.</w:t>
      </w:r>
    </w:p>
    <w:p>
      <w:r>
        <w:t>{</w:t>
      </w:r>
    </w:p>
    <w:p>
      <w:r>
        <w:t xml:space="preserve"> "runId":"ai1","model":"tenant-approved-deployment","policyVersion":"12",</w:t>
      </w:r>
    </w:p>
    <w:p>
      <w:r>
        <w:t xml:space="preserve"> "findings":[{"claim":"Unusual sign in requires review",</w:t>
      </w:r>
    </w:p>
    <w:p>
      <w:r>
        <w:t xml:space="preserve">   "evidenceRefs":["alert:a1"],"confidence":"medium","verified":false}],</w:t>
      </w:r>
    </w:p>
    <w:p>
      <w:r>
        <w:t xml:space="preserve"> "recommendedPriority":"P2","proposedActions":[{"actionType":"CollectContext",</w:t>
      </w:r>
    </w:p>
    <w:p>
      <w:r>
        <w:t xml:space="preserve">   "targetId":"user:1","reason":"Validate recent activity"}],</w:t>
      </w:r>
    </w:p>
    <w:p>
      <w:r>
        <w:t xml:space="preserve"> "limitations":["Endpoint telemetry unavailable"]</w:t>
      </w:r>
    </w:p>
    <w:p>
      <w:r>
        <w:t>}</w:t>
      </w:r>
    </w:p>
    <w:p>
      <w:r>
        <w:t>Qdrant should use a separate collection per tenant by default, plus mandatory tenant and ACL filtering enforced by a trusted retrieval service. Only that service holds vector credentials. Names are registry resolved; callers cannot supply arbitrary collection names or filters. Vectors are derived data, not evidence of truth. Payload includes documentId chunkId sourceVersion sensitivity permittedGroups embeddingModel contentHash and deletionState. Avoid raw secret text in vector payload; retrieve authoritative text after ACL checks.</w:t>
      </w:r>
    </w:p>
    <w:p>
      <w:r>
        <w:t>Indexing: scan and classify document; extract text; chunk with proposed 800 tokens and 100 overlap; preserve heading and citation offsets; obtain approved embedding model; write versioned vectors; atomically switch active document version in MongoDB. Different embedding dimensions or model versions use new collections and controlled reindex, never mix vectors. Retrieval applies ACL before ranking and again before prompt assembly; start with top 8 chunks and configurable score threshold calibrated by evaluation. Deleted or revoked documents become unavailable immediately through the metadata gate, then vectors are deleted asynchronously with completion audit. Backups follow the same deletion policy.</w:t>
      </w:r>
    </w:p>
    <w:p>
      <w:r>
        <w:t>Budgets limit tenant requests tokens query duration and concurrent runs. Track p95 inference latency abstention evidence citation quality false positive rate operator acceptance and cost. Evaluation set covers prompt injection cross tenant retrieval fabricated evidence unsafe action suggestions local outage provider mismatch and model upgrade regression. Proposed go live gate: zero cross tenant disclosures and zero unauthorised tool executions; citation support and task quality thresholds are decided in V5-D07. A global and per tenant kill switch halts new model calls and actions while preserving manual workflows.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The AI chat agent is a first class Radzen conversation screen and an incident side panel. Users can ask operational or general security questions, query authorised uploaded documents in File Store, and request internet research. Answers should show inline reference annotations, a source list, a confidence score with its meaning and limitations, and token usage. The agent can combine web and uploaded document evidence while preserving tenant scope and file ACL. Customer conversations cannot access internal SOC documents unless explicitly permitted. Internet access is a capability mediated by a web research broker rather than unrestricted model network access.</w:t>
      </w:r>
    </w:p>
    <w:p>
      <w:r>
        <w:t>Chat controls include source mode LibraryOnly WebOnly or Combined, optional incident context, approved model route, conversation history, cancel, feedback and a visible remaining budget indicator. A new chat defaults to the tenant approved mode; LocalOnly AI never calls cloud inference and internet research requires separate tenant permission. The UI distinguishes a quoted source fact an inferred conclusion and an unverified suggestion. Each assistant response shows generation time source retrieval time model identity and confidence explanation. Users may open a cited file only after a fresh access check.</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Component</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Contract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Conversation service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Owns tenant and user scoped conversations messages sensitivity retention and incident context; shared chats require explicit ACL</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Retrieval planner</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Classifies question chooses permitted library and web searches bounds time tokens and tool calls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Library retriever</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Searches File Store metadata full text and Qdrant; rechecks file and version ACL before prompt assembly</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Web research broker</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Searches approved provider returns canonical URLs title publisher retrieved time snippets and fetched approved page text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Citation resolver</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Maps evidence spans to stable source IDs validates annotations and access before display</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Answer verifier</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Checks claim evidence coverage conflicting sources unsupported claims and confidence calibration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Budget service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Atomically reserves hierarchical tokens and monetary estimate before tools or inference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Chat UI</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Streams safe answer text then final validated citations score usage and actionable source links</w:t>
            </w:r>
          </w:p>
        </w:tc>
      </w:tr>
    </w:tbl>
    <w:p>
      <w:pPr>
        <w:keepNext w:val="0"/>
        <w:keepLines w:val="0"/>
        <w:pageBreakBefore w:val="0"/>
        <w:spacing w:before="0" w:after="0" w:line="20" w:lineRule="exact"/>
      </w:pPr>
    </w:p>
    <w:p>
      <w:r>
        <w:t>Web broker should restrict outbound schemes to HTTPS and approved public destinations, block private loopback link local and cloud metadata ranges, revalidate DNS and redirects, cap content size and fetch duration, and reject executable content. Retrieved pages are untrusted input. Never send raw incident content personal data secrets or proprietary document text to a web search provider. Use redacted minimal query terms under tenant policy and record them with retention controls. Authenticated sites require a separately approved connector; the chat cannot borrow arbitrary user sessions. Search provider choice terms and data residency remain V5-D07.</w:t>
      </w:r>
    </w:p>
    <w:p>
      <w:r>
        <w:t>Retrieval algorithm: authorise chat and selected sources; reserve budget; derive minimal search plan; search scoped library and permitted internet in parallel where independent; normalise sources with provenance and version; rank deduplicate and check recency; retrieve bounded passages; compose answer with source IDs; verify cited claims against passages; remove unsupported factual claims or label uncertainty; calculate evidence confidence; persist message source map scores and usage; settle reservation. If evidence is unavailable or contradictory, return an explicit limitation and targeted follow up rather than manufacture references. A tool failure yields partial coverage with visible warnings and an appropriately reduced score.</w:t>
      </w:r>
    </w:p>
    <w:p>
      <w:r>
        <w:t>POST /api/v1/tenants/{t}/chat/conversations</w:t>
      </w:r>
    </w:p>
    <w:p>
      <w:r>
        <w:t>{"title":"Identity incident analysis","incidentId":"i1","sourceMode":"Combined"}</w:t>
      </w:r>
    </w:p>
    <w:p>
      <w:r>
        <w:t>201 {"conversationId":"chat1"}</w:t>
      </w:r>
    </w:p>
    <w:p>
      <w:r>
        <w:t>POST /api/v1/tenants/{t}/chat/conversations/{c}/messages</w:t>
      </w:r>
    </w:p>
    <w:p>
      <w:r>
        <w:t>Idempotency-Key: msg-1</w:t>
      </w:r>
    </w:p>
    <w:p>
      <w:r>
        <w:t>{"text":"What does our runbook recommend for this alert?",</w:t>
      </w:r>
    </w:p>
    <w:p>
      <w:r>
        <w:t xml:space="preserve"> "sourceMode":"Combined","fileIds":["f1"],"maxOutputTokens":1200}</w:t>
      </w:r>
    </w:p>
    <w:p>
      <w:r>
        <w:t>202 {"messageId":"m1","operationId":"op1","reservationId":"b1"}</w:t>
      </w:r>
    </w:p>
    <w:p>
      <w:r>
        <w:t>GET /api/v1/tenants/{t}/chat/messages/{m}/events</w:t>
      </w:r>
    </w:p>
    <w:p>
      <w:r>
        <w:t>Server events: delta, toolStatus, completed, failed (authorised stream)</w:t>
      </w:r>
    </w:p>
    <w:p>
      <w:r>
        <w:t>GET /api/v1/tenants/{t}/chat/messages/{m}</w:t>
      </w:r>
    </w:p>
    <w:p>
      <w:r>
        <w:t>200 {"answer":"Follow the isolation review checklist [1].",</w:t>
      </w:r>
    </w:p>
    <w:p>
      <w:r>
        <w:t xml:space="preserve"> "citations":[{"number":1,"sourceType":"FileStore","fileId":"f1",</w:t>
      </w:r>
    </w:p>
    <w:p>
      <w:r>
        <w:t xml:space="preserve">   "versionId":"v2","page":4,"chunkId":"k7","title":"IR Runbook"}],</w:t>
      </w:r>
    </w:p>
    <w:p>
      <w:r>
        <w:t xml:space="preserve"> "confidence":{"score":82,"label":"High evidence support",</w:t>
      </w:r>
    </w:p>
    <w:p>
      <w:r>
        <w:t xml:space="preserve">   "calibrationVersion":"cv1","coverage":0.9,"limitations":[]},</w:t>
      </w:r>
    </w:p>
    <w:p>
      <w:r>
        <w:t xml:space="preserve"> "usage":{"inputTokens":2300,"outputTokens":350,"budgetState":"Settled"}}</w:t>
      </w:r>
    </w:p>
    <w:p>
      <w:r>
        <w:t>Web citation records include sourceId URL canonicalURL title publisher publicationTime when known retrievedAtUtc contentHash passage offsets and supporting claim IDs. File citations include tenant fileId versionId hash page or section and passage ID; show page only if verified from extraction. Numbered annotations link each factual claim to the used source; source list is not merely the search results. Do not invent page numbers or include sources not used. Preserve conflicting sources with a dated explanation. Store cited passages or policy permitted hashes and retrievable references sufficient for audit; web content retention must follow provider terms. Citation links never embed credentials or unscoped object URLs.</w:t>
      </w:r>
    </w:p>
    <w:p>
      <w:r>
        <w:t>Confidence score is evidence support, not a probability that the entire answer is correct. Proposed initial score C = 100 times clamp(0.40 coverage + 0.25 sourceQuality + 0.20 consistency + 0.15 freshness minus uncertaintyPenalty, 0, 1). Each factor is normalised to zero through one. Coverage measures supported material claims weighted by impact; quality uses documented source provenance rules; consistency measures corroboration and contradiction; freshness is relative to question type; penalty covers incomplete retrieval or unverifiable claims. These initial weights are a testable proposal and must be calibrated against human labelled SOC questions before production. Never display a model self reported confidence number as calibrated confidence.</w:t>
      </w:r>
    </w:p>
    <w:p>
      <w:r>
        <w:t>Proposed display bands: 80 to 100 high evidence support; 60 to 79 moderate; below 60 limited. No reliable evidence means insufficient evidence rather than a spurious numeric certainty. Show factor values and limitations on demand. High impact recommendations require direct supporting evidence and normal response approvals regardless of score. If any material claim is unsupported, flag it and cap the answer below High until corrected. Record calibration version and measured error by question category; evaluate whether score bands track human supported answer judgements. Do not claim statistically calibrated correctness until validated.</w:t>
      </w:r>
    </w:p>
    <w:p>
      <w:r>
        <w:t>All other AI features including incident notes classification recommendations and generated summaries should expose the same evidence confidence structure where meaningful. Deterministic tool results show verification state rather than a fabricated confidence score. AI output export preserves annotations and score metadata. Revoked files are excluded from subsequent prompts; stored conversation messages derived from those files inherit provenance and access constraints so prior answers cannot bypass revocation. A conversation participant change triggers reauthorisation of history. Do not let the model decide access.</w:t>
      </w:r>
    </w:p>
    <w:p>
      <w:r>
        <w:t>Data models: chat_conversations contains id tenantId ownerTid ownerOid acl incidentId sensitivity sourcePolicy createdAt retentionPolicyId; chat_messages contains id conversationId role content model policyVersion sourceRefs confidence usage reservationId state createdAt; chat_sources contains id messageId sourceType fileVersion or publicURL hash retrievedAt claimSpans aclRevision. Index conversation updatedAt and message conversationId createdAt. Retain chat history per approved tenant policy; deletion includes derived embeddings and source snippets unless legal hold applies.</w:t>
      </w:r>
    </w:p>
    <w:p>
      <w:pPr>
        <w:pStyle w:val="Heading2"/>
        <w:keepNext/>
      </w:pPr>
      <w:r>
        <w:rPr>
          <w:color w:val="000000"/>
        </w:rPr>
        <w:t>Chat retrieval and citation tests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3312"/>
        <w:gridCol w:w="5472"/>
      </w:tblGrid>
      <w:tr>
        <w:trPr>
          <w:cantSplit/>
          <w:tblHeader/>
          <w:tblHeader/>
          <w:cantSplit/>
        </w:trPr>
        <w:tc>
          <w:tcPr>
            <w:tcW w:type="dxa" w:w="1008"/>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Test</w:t>
            </w:r>
          </w:p>
        </w:tc>
        <w:tc>
          <w:tcPr>
            <w:tcW w:type="dxa" w:w="3312"/>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Scenario</w:t>
            </w:r>
          </w:p>
        </w:tc>
        <w:tc>
          <w:tcPr>
            <w:tcW w:type="dxa" w:w="5472"/>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Acceptance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T39</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Ask combined web and library question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Answer uses authorised file passages and retrieved public sources with claim annotations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T40</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Document ACL revoked or customer asks internal library question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restricted answer content citation snippet or history disclosure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T41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Conflicting stale or missing source and malicious web instruction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Visible limitations lower support score or abstention; no tool authority escalation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T47</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LocalOnly combined chat and provider outage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cloud inference fallback; internet only if independently enabled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T48</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Citation points to nonexistent file page or unused URL</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Verifier rejects annotation; no fabricated reference published</w:t>
            </w:r>
          </w:p>
        </w:tc>
      </w:tr>
    </w:tbl>
    <w:p>
      <w:pPr>
        <w:keepNext w:val="0"/>
        <w:keepLines w:val="0"/>
        <w:pageBreakBefore w:val="0"/>
        <w:spacing w:before="0" w:after="0" w:line="20" w:lineRule="exact"/>
      </w:pPr>
    </w:p>
    <w:p>
      <w:pPr>
        <w:pStyle w:val="Heading2"/>
        <w:keepNext/>
      </w:pPr>
      <w:r>
        <w:rPr>
          <w:color w:val="000000"/>
        </w:rPr>
        <w:t>M10 Engine integration and evaluation work</w:t>
      </w:r>
    </w:p>
    <w:p>
      <w:r>
        <w:t>M10 V5 1 Add explicit work for the two-container same-hash isolation spike, cross-cluster content/jobs/operator records test, local authenticated network and streaming test, Radzen AI-service bypass test and the labelled evaluation dataset. Engine reports of completed asks are intake evidence only until the pinned package passes these tests.</w:t>
      </w:r>
    </w:p>
    <w:p>
      <w:r>
        <w:t>M10 V5 2 Ship local LibraryOnly chat first; ship web broker and Azure OpenAI activation as later accepted subreleases. All required source modes remain in the programme. Reference annotations confidence explanations budget enforcement conversation reauthorisation prompt injection controls and tool allowlists apply in every mode.</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M10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Provider modes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Support Azure OpenAI local OpenAI compatible services and explicit CloudOnly LocalOnly or approved hybrid routes.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Investigation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Generate evidence linked hypotheses notes classification recommendations and suggested actions with limits and analyst review.</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M10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Chat</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Provide standalone and incident chat with authorised uploaded documents internet research or combined answers and explicit source mode.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Citations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Annotate factual claims with used file version page or section or web URL retrieval time; verify references.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M10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Confidence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Display evidence support score factors limitations and calibrated quality evaluation; abstain when evidence is insufficient.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Safe retrieval</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Qdrant and source ACL gates redaction prompt injection controls permitted web queries and provider restrictions.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M10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Optional datasets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Run approved web or general chat without File Store; library mode requires File Store and incident enrichment requires incident permissions.</w:t>
            </w:r>
          </w:p>
        </w:tc>
      </w:tr>
    </w:tbl>
    <w:p>
      <w:bookmarkStart w:id="36" w:name="orca_ch_036"/>
      <w:pPr>
        <w:pStyle w:val="Tenant_Heading1"/>
      </w:pPr>
      <w:r>
        <w:t>M10 AI and chat settings</w:t>
      </w:r>
      <w:bookmarkEnd w:id="36"/>
    </w:p>
    <w:p>
      <w:r>
        <w:t>ECFG M10 | Required dependencies: M01 M02 M11; M03 for library files.</w:t>
      </w:r>
    </w:p>
    <w:p>
      <w:r>
        <w:t>Permission boundary: ai.infer/trace.read/model.configure/web.use/evaluate; budget authority remains M11.</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providerMode</w:t>
            </w:r>
          </w:p>
        </w:tc>
        <w:tc>
          <w:tcPr>
            <w:tcW w:type="dxa" w:w="2016"/>
          </w:tcPr>
          <w:p>
            <w:pPr>
              <w:spacing w:after="60" w:before="40" w:line="240" w:lineRule="auto"/>
            </w:pPr>
            <w:r>
              <w:rPr>
                <w:sz w:val="18"/>
              </w:rPr>
              <w:t>enum; LocalOnly</w:t>
            </w:r>
          </w:p>
        </w:tc>
        <w:tc>
          <w:tcPr>
            <w:tcW w:type="dxa" w:w="5400"/>
          </w:tcPr>
          <w:p>
            <w:pPr>
              <w:spacing w:after="60" w:before="40" w:line="240" w:lineRule="auto"/>
            </w:pPr>
            <w:r>
              <w:rPr>
                <w:sz w:val="18"/>
              </w:rPr>
              <w:t>LocalOnly or explicitly allowed cloud route. Applies to generation, embedding, AI OCR/classification/reranking.</w:t>
            </w:r>
          </w:p>
        </w:tc>
      </w:tr>
      <w:tr>
        <w:trPr>
          <w:cantSplit/>
        </w:trPr>
        <w:tc>
          <w:tcPr>
            <w:tcW w:type="dxa" w:w="2448"/>
          </w:tcPr>
          <w:p>
            <w:pPr>
              <w:spacing w:after="60" w:before="40" w:line="240" w:lineRule="auto"/>
            </w:pPr>
            <w:r>
              <w:rPr>
                <w:sz w:val="18"/>
              </w:rPr>
              <w:t>generationModelRef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model/version and private/provider endpoint profile; validate route and data policy.</w:t>
            </w:r>
          </w:p>
        </w:tc>
      </w:tr>
      <w:tr>
        <w:trPr>
          <w:cantSplit/>
        </w:trPr>
        <w:tc>
          <w:tcPr>
            <w:tcW w:type="dxa" w:w="2448"/>
          </w:tcPr>
          <w:p>
            <w:pPr>
              <w:spacing w:after="60" w:before="40" w:line="240" w:lineRule="auto"/>
            </w:pPr>
            <w:r>
              <w:rPr>
                <w:sz w:val="18"/>
              </w:rPr>
              <w:t>embeddingModelRef</w:t>
            </w:r>
          </w:p>
        </w:tc>
        <w:tc>
          <w:tcPr>
            <w:tcW w:type="dxa" w:w="2016"/>
          </w:tcPr>
          <w:p>
            <w:pPr>
              <w:spacing w:after="60" w:before="40" w:line="240" w:lineRule="auto"/>
            </w:pPr>
            <w:r>
              <w:rPr>
                <w:sz w:val="18"/>
              </w:rPr>
              <w:t>Ref; unset when indexing</w:t>
            </w:r>
          </w:p>
        </w:tc>
        <w:tc>
          <w:tcPr>
            <w:tcW w:type="dxa" w:w="5400"/>
          </w:tcPr>
          <w:p>
            <w:pPr>
              <w:spacing w:after="60" w:before="40" w:line="240" w:lineRule="auto"/>
            </w:pPr>
            <w:r>
              <w:rPr>
                <w:sz w:val="18"/>
              </w:rPr>
              <w:t>Pin model/version and dimension-compatible tenant vector namespace; migration cannot mix incompatible vectors.</w:t>
            </w:r>
          </w:p>
        </w:tc>
      </w:tr>
      <w:tr>
        <w:trPr>
          <w:cantSplit/>
        </w:trPr>
        <w:tc>
          <w:tcPr>
            <w:tcW w:type="dxa" w:w="2448"/>
          </w:tcPr>
          <w:p>
            <w:pPr>
              <w:spacing w:after="60" w:before="40" w:line="240" w:lineRule="auto"/>
            </w:pPr>
            <w:r>
              <w:rPr>
                <w:sz w:val="18"/>
              </w:rPr>
              <w:t>sourceMode</w:t>
            </w:r>
          </w:p>
        </w:tc>
        <w:tc>
          <w:tcPr>
            <w:tcW w:type="dxa" w:w="2016"/>
          </w:tcPr>
          <w:p>
            <w:pPr>
              <w:spacing w:after="60" w:before="40" w:line="240" w:lineRule="auto"/>
            </w:pPr>
            <w:r>
              <w:rPr>
                <w:sz w:val="18"/>
              </w:rPr>
              <w:t>enum; LibraryOnly</w:t>
            </w:r>
          </w:p>
        </w:tc>
        <w:tc>
          <w:tcPr>
            <w:tcW w:type="dxa" w:w="5400"/>
          </w:tcPr>
          <w:p>
            <w:pPr>
              <w:spacing w:after="60" w:before="40" w:line="240" w:lineRule="auto"/>
            </w:pPr>
            <w:r>
              <w:rPr>
                <w:sz w:val="18"/>
              </w:rPr>
              <w:t>LibraryOnly initial scope; WebOnly/Combined require separately enabled web capability and permissions.</w:t>
            </w:r>
          </w:p>
        </w:tc>
      </w:tr>
      <w:tr>
        <w:trPr>
          <w:cantSplit/>
        </w:trPr>
        <w:tc>
          <w:tcPr>
            <w:tcW w:type="dxa" w:w="2448"/>
          </w:tcPr>
          <w:p>
            <w:pPr>
              <w:spacing w:after="60" w:before="40" w:line="240" w:lineRule="auto"/>
            </w:pPr>
            <w:r>
              <w:rPr>
                <w:sz w:val="18"/>
              </w:rPr>
              <w:t>webPolicyRef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SSRF-resistant approved broker, query privacy and egress controls; no hidden internet fallback.</w:t>
            </w:r>
          </w:p>
        </w:tc>
      </w:tr>
      <w:tr>
        <w:trPr>
          <w:cantSplit/>
        </w:trPr>
        <w:tc>
          <w:tcPr>
            <w:tcW w:type="dxa" w:w="2448"/>
          </w:tcPr>
          <w:p>
            <w:pPr>
              <w:spacing w:after="60" w:before="40" w:line="240" w:lineRule="auto"/>
            </w:pPr>
            <w:r>
              <w:rPr>
                <w:sz w:val="18"/>
              </w:rPr>
              <w:t>sensitivityPolicyRef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Authorised source ACLs before retrieval, prompt assembly and history display. No cross-tenant hash lookup.</w:t>
            </w:r>
          </w:p>
        </w:tc>
      </w:tr>
      <w:tr>
        <w:trPr>
          <w:cantSplit/>
        </w:trPr>
        <w:tc>
          <w:tcPr>
            <w:tcW w:type="dxa" w:w="2448"/>
          </w:tcPr>
          <w:p>
            <w:pPr>
              <w:spacing w:after="60" w:before="40" w:line="240" w:lineRule="auto"/>
            </w:pPr>
            <w:r>
              <w:rPr>
                <w:sz w:val="18"/>
              </w:rPr>
              <w:t>conversationRetentionRef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Tenant/user ownership, permitted traces and privacy; do not store raw secrets as prompts.</w:t>
            </w:r>
          </w:p>
        </w:tc>
      </w:tr>
      <w:tr>
        <w:trPr>
          <w:cantSplit/>
        </w:trPr>
        <w:tc>
          <w:tcPr>
            <w:tcW w:type="dxa" w:w="2448"/>
          </w:tcPr>
          <w:p>
            <w:pPr>
              <w:spacing w:after="60" w:before="40" w:line="240" w:lineRule="auto"/>
            </w:pPr>
            <w:r>
              <w:rPr>
                <w:sz w:val="18"/>
              </w:rPr>
              <w:t>evaluationPackRef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Versioned held-out evaluation and independent review. Case count/quality thresholds use approved policy, not illustrative values.</w:t>
            </w:r>
          </w:p>
        </w:tc>
      </w:tr>
    </w:tbl>
    <w:p>
      <w:pPr>
        <w:pStyle w:val="Tenant_Heading2"/>
      </w:pPr>
      <w:r>
        <w:t>Lifecycle and integration</w:t>
      </w:r>
    </w:p>
    <w:p>
      <w:r>
        <w:t>M11 unavailable means no AI calls, including indexing. LocalOnly cannot silently select cloud after failure. Library metadata search remains usable independently under M03.</w:t>
      </w:r>
    </w:p>
    <w:p>
      <w:pPr>
        <w:pStyle w:val="Tenant_Heading2"/>
      </w:pPr>
      <w:r>
        <w:t>Engine acceptance scenario</w:t>
      </w:r>
    </w:p>
    <w:p>
      <w:r>
        <w:t>ECFG M10 AC: Test budget rejection before provider call, ACL revoke mid-retrieval, LocalOnly egress, vector model mismatch and unauthorised web query denial.</w:t>
      </w:r>
    </w:p>
    <w:p>
      <w:r>
        <w:t>All common TSET/NAV gates apply. Values and references are server-validated in the selected tenant; generic settings edits never replace the owning engine’s publication or approval workflow.</w:t>
      </w:r>
    </w:p>
    <w:p>
      <w:bookmarkStart w:id="37" w:name="orca_ch_037"/>
      <w:pPr>
        <w:pStyle w:val="Heading1"/>
        <w:keepNext/>
        <w:pageBreakBefore w:val="0"/>
      </w:pPr>
      <w:r>
        <w:rPr>
          <w:color w:val="000000"/>
        </w:rPr>
        <w:t>M11 AI budget engine</w:t>
      </w:r>
      <w:bookmarkEnd w:id="37"/>
    </w:p>
    <w:p>
      <w:r>
        <w:t>Allocate and enforce token and optional monetary usage at tenant group user and service levels.</w:t>
      </w:r>
    </w:p>
    <w:p>
      <w:r>
        <w:t>Dependencies: M01 M02</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Allocations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input output total token limits periods models warning thresholds hard stops and optional monetary caps.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Hierarchy</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the confirmed primary charge group per user while enforcing user and tenant caps; apply explicit mandatory scope restrictions.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Reservations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Reserve before inference or agent steps and settle actual usage safely under concurrency.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Reconciliation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Track cancellations retries embeddings verifier calls delayed usage and uncertain provider billing without double charge.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consumed reserved remaining forecasts and audited adjustments with delegated management scope.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Standalone boundary</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Expose metering and allocation services before AI providers are enabled; AI release depends on budget enforcement.</w:t>
            </w:r>
          </w:p>
        </w:tc>
      </w:tr>
    </w:tbl>
    <w:p>
      <w:pPr>
        <w:keepNext w:val="0"/>
        <w:keepLines w:val="0"/>
        <w:pageBreakBefore w:val="0"/>
        <w:spacing w:before="0" w:after="0" w:line="20" w:lineRule="exact"/>
      </w:pPr>
    </w:p>
    <w:p>
      <w:pPr>
        <w:pStyle w:val="Heading2"/>
        <w:keepNext/>
      </w:pPr>
      <w:r>
        <w:rPr>
          <w:color w:val="000000"/>
        </w:rPr>
        <w:t>Required workflow</w:t>
      </w:r>
    </w:p>
    <w:p>
      <w:r>
        <w:t>Policy and group resolve -&gt; atomic hierarchical reservation -&gt; bounded inference -&gt; receipt settlement -&gt; reporting or reconciliation.</w:t>
      </w:r>
    </w:p>
    <w:p>
      <w:pPr>
        <w:pStyle w:val="Heading2"/>
        <w:keepNext/>
      </w:pPr>
      <w:r>
        <w:rPr>
          <w:color w:val="000000"/>
        </w:rPr>
        <w:t>Acceptance criteria</w:t>
      </w:r>
    </w:p>
    <w:p>
      <w:pPr>
        <w:pStyle w:val="ListBullet"/>
      </w:pPr>
      <w:r>
        <w:t>M11 AC1 Two requests cannot spend the same final token allowance.</w:t>
      </w:r>
    </w:p>
    <w:p>
      <w:pPr>
        <w:pStyle w:val="ListBullet"/>
      </w:pPr>
      <w:r>
        <w:t>M11 AC2 Group reassignment does not reset tenant or user consumption.</w:t>
      </w:r>
    </w:p>
    <w:p>
      <w:pPr>
        <w:pStyle w:val="ListBullet"/>
      </w:pPr>
      <w:r>
        <w:t>M11 AC3 Unknown usage retains a conservative reservation.</w:t>
      </w:r>
    </w:p>
    <w:p>
      <w:pPr>
        <w:pStyle w:val="ListBullet"/>
      </w:pPr>
      <w:r>
        <w:t>M11 AC4 An administrator cannot exceed delegated allocation rights.</w:t>
      </w:r>
    </w:p>
    <w:p>
      <w:pPr>
        <w:pStyle w:val="Heading2"/>
        <w:keepNext/>
      </w:pPr>
      <w:r>
        <w:rPr>
          <w:color w:val="000000"/>
        </w:rPr>
        <w:t>Suggested data responsibilities</w:t>
      </w:r>
    </w:p>
    <w:p>
      <w:r>
        <w:t>BudgetPolicy PeriodCounter Reservation UsageEvent PriceVersion Adjustment and ReconciliationCase.</w:t>
      </w:r>
    </w:p>
    <w:p>
      <w:pPr>
        <w:pStyle w:val="Heading2"/>
        <w:keepNext/>
      </w:pPr>
      <w:r>
        <w:rPr>
          <w:color w:val="000000"/>
        </w:rPr>
        <w:t>Suggested implementation direction</w:t>
      </w:r>
    </w:p>
    <w:p>
      <w:r>
        <w:t>An operator-held tenant database transaction can enforce all counters within one tenant. Use a stable usage ledger and unique call receipts; price feeds and reservation estimates need provider specific research.</w:t>
      </w:r>
    </w:p>
    <w:p>
      <w:pPr>
        <w:pStyle w:val="Heading2"/>
        <w:keepNext/>
      </w:pPr>
      <w:r>
        <w:rPr>
          <w:color w:val="000000"/>
        </w:rPr>
        <w:t>Research before development</w:t>
      </w:r>
    </w:p>
    <w:p>
      <w:r>
        <w:t>Confirm budget periods allocations guarantee versus ceiling semantics money currency model pricing and provider reconciliation capability.</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Administrators should allocate token budgets per tenant per group and per user. Tenant is the hard upper boundary. User and group budgets constrain usage within it; a user cannot exceed tenant remaining capacity because their individual quota is larger. Apply budgets to all model calls including chat investigations embeddings verifier retries agent tools that invoke AI and background indexing. External web search fees and non token charges require a separate monetary budget because a token limit alone cannot cap spend. Customer hosted local models still consume measured or estimated tokens for allocation fairness even when provider monetary cost is zero.</w:t>
      </w:r>
    </w:p>
    <w:p>
      <w:r>
        <w:t>Budget policy fields: scopeType Tenant Group User or Service, scopeId periodType periodStartUtc periodEndUtc timeZone modelAllowlist inputTokenLimit outputTokenLimit totalTokenLimit optionalMoneyLimit currency alertThresholds hardStop rolloverRule version and enabled. Proposed periods are calendar month with configurable day or annual budgets. Rollover defaults to none. Token counters distinguish uncached input cached input output embedding and estimated local tokens; enforcement uses total billable token accounting policy defined per provider, while monetary settlement uses versioned model rates. Do not treat a token as equal monetary cost across models.</w:t>
      </w:r>
    </w:p>
    <w:p>
      <w:r>
        <w:t>Group scope is resolved by immutable Entra or UAM group identifier. Application role group membership and budget group assignment are separate mappings. For multiple groups, confirmed rule is one primary charge group per user and tenant, chosen by administrator; the request also remains constrained by any explicitly configured mandatory cap groups. Users cannot select a different group to escape limits. If no primary group is configured use a tenant default budget group; missing required mapping denies AI usage with an actionable configuration message. Group reassignment cannot reset the user or tenant period counter. V5-D09 group charging rule is confirmed; budget period and numerical allocations remain tenant configuration.</w:t>
      </w:r>
    </w:p>
    <w:p>
      <w:r>
        <w:t>reserve(request):</w:t>
      </w:r>
    </w:p>
    <w:p>
      <w:r>
        <w:t xml:space="preserve">  authorise ai.infer, model, source policy and effective budget group</w:t>
      </w:r>
    </w:p>
    <w:p>
      <w:r>
        <w:t xml:space="preserve">  estimate input from prompt + history + retrieved context + tool schemas</w:t>
      </w:r>
    </w:p>
    <w:p>
      <w:r>
        <w:t xml:space="preserve">  reserve output maximum + bounded tool/verification allowance</w:t>
      </w:r>
    </w:p>
    <w:p>
      <w:r>
        <w:t xml:space="preserve">  use one tenant MongoDB transaction to conditionally increment reserved</w:t>
      </w:r>
    </w:p>
    <w:p>
      <w:r>
        <w:t xml:space="preserve">    for tenant, user, charge group, mandatory cap groups, model and service</w:t>
      </w:r>
    </w:p>
    <w:p>
      <w:r>
        <w:t xml:space="preserve">  require consumed + reserved + requested &lt;= limit for every hard cap</w:t>
      </w:r>
    </w:p>
    <w:p>
      <w:r>
        <w:t xml:space="preserve">  if any condition fails: abort all increments and return BudgetExceeded</w:t>
      </w:r>
    </w:p>
    <w:p>
      <w:r>
        <w:t xml:space="preserve">  create unique reservation on tenant + requestId + generation</w:t>
      </w:r>
    </w:p>
    <w:p>
      <w:r>
        <w:t>execute only after durable reservation commit</w:t>
      </w:r>
    </w:p>
    <w:p>
      <w:r>
        <w:t>settle(provider receipt):</w:t>
      </w:r>
    </w:p>
    <w:p>
      <w:r>
        <w:t xml:space="preserve">  atomically record unique usage event, subtract reservation, add actual usage</w:t>
      </w:r>
    </w:p>
    <w:p>
      <w:r>
        <w:t xml:space="preserve">  provider correction appends adjustment; never overwrite audit history</w:t>
      </w:r>
    </w:p>
    <w:p>
      <w:r>
        <w:t>Reservations cover bounded multi step agents. Before a further tool or model call, top up atomically or stop with a partial answer. Provider context and output token caps are set from the reserved allowance. Cancellation releases only unused reservation after usage or safe reconciliation; a lease timeout alone does not prove a provider call was unbilled. Mark uncertain provider usage PendingReconciliation and retain conservative reservation. Reconcile provider usage reports where available. Unexpected usage exceeding reservation records overrun blocks further usage and alerts; do not promise exact spend caps when providers report delayed or additional charges.</w:t>
      </w:r>
    </w:p>
    <w:p>
      <w:r>
        <w:t>All budget documents live in the operator-held per-tenant database so tenant user and group counters can be updated in one transaction. Use conditional updates and unique usageEventId requestId to prevent double charge. At large scale use bounded suballocations to workers with a parent reserved ledger rather than oversubscribing central caps. Period IDs are immutable UTC boundaries derived from approved time zone; requests crossing month end settle against their original reservation period. Limit reductions below already consumed usage deny new reservations without rewriting history. Retries carry original reservation or explicitly reserve an additional generation; every billed call remains accounted.</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API</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Behaviour and permission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GET /tenants/{t}/ai/budgets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Own effective remaining usage for users; scoped management view for budget.read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PUT /tenants/{t}/ai/budgets/{id}</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Versioned limits periods hard stops group binding with If-Match; budget.manage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POST /tenants/{t}/ai/budgets/{id}/adjustments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Reasoned audited credit debit or temporary allocation; budget.adjust; no history deletion</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GET /tenants/{t}/ai/usage</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Time user group model feature token money and estimate filters; budget.report scoped</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POST /tenants/{t}/ai/budget-simulations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Evaluate proposed policy against usage without changing counters; budget.manage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POST /internal/v1/budget-reservations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Workload only tenant bound atomic reserve settle cancel reconcile; no user bypass</w:t>
            </w:r>
          </w:p>
        </w:tc>
      </w:tr>
    </w:tbl>
    <w:p>
      <w:pPr>
        <w:keepNext w:val="0"/>
        <w:keepLines w:val="0"/>
        <w:pageBreakBefore w:val="0"/>
        <w:spacing w:before="0" w:after="0" w:line="20" w:lineRule="exact"/>
      </w:pPr>
    </w:p>
    <w:p>
      <w:r>
        <w:t>UI budget manager shows tenant user group allocations consumed reserved remaining forecast and alert state with drilldown to model and feature. Notify at proposed 50 80 and 100 percent. Hard stop denies new calls and shows which scope is exhausted without revealing another user usage. An allocation is a ceiling by default, not a guaranteed reservation of tenant capacity; guaranteed shares require a separately configured tenant suballocation policy. Budget administrators cannot change their own entitlements or exceed tenant caps without an independently authorised adjustment. Separate budget.read budget.manage budget.adjust and budget.report grants; customer administrators may manage only delegated tenant sublimits.</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Test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Scenario</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Acceptance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T42</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Simultaneous calls at last tenant user and group tokens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Atomic reserve permits only within every cap; no negative remaining</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T43</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User belongs to several groups or moves group midperiod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Deterministic charge mapping and persistent tenant/user consumption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T44</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Cancel timeout retry or delayed usage receipt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double charge or premature reservation release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T45</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Agent plans additional step after reservation exhausted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Top up denied; agent stops without exceeding call allowance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T46</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Budget management scope and limits reduced below usage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 cross tenant view; new usage denied; historical ledger unchanged</w:t>
            </w:r>
          </w:p>
        </w:tc>
      </w:tr>
    </w:tbl>
    <w:p>
      <w:pPr>
        <w:keepNext w:val="0"/>
        <w:keepLines w:val="0"/>
        <w:pageBreakBefore w:val="0"/>
        <w:spacing w:before="0" w:after="0" w:line="20" w:lineRule="exact"/>
      </w:pPr>
    </w:p>
    <w:p>
      <w:pPr>
        <w:pStyle w:val="Heading2"/>
        <w:keepNext/>
      </w:pPr>
      <w:r>
        <w:rPr>
          <w:color w:val="000000"/>
        </w:rPr>
        <w:t>M11 Trusted budget and receipt placement</w:t>
      </w:r>
    </w:p>
    <w:p>
      <w:r>
        <w:t>M11 V5 1 Place all reservation counters receipts usage and charge-group mappings in the operator-held tenant store so a customer administrator cannot reset a cap. A unique request reservation and transaction updates every mandatory cap atomically. Reconcile the engine usage receipt against this host ledger, never authorise from customer-side decisions.</w:t>
      </w:r>
    </w:p>
    <w:p>
      <w:r>
        <w:t>M11 V5 2 The model gateway gate is mandatory on every path, including OCR embedding background backfill and Radzen assisted components. Null or unavailable gate means denied in SOC production. Local model costs may be unpriced but their measured token usage still consumes configured budgets.</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M11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Allocations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input output total token limits periods models warning thresholds hard stops and optional monetary caps.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M11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Hierarchy</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Use the confirmed primary charge group per user while enforcing user and tenant caps; apply explicit mandatory scope restrictions.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M11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Reservations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Reserve before inference or agent steps and settle actual usage safely under concurrency.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M11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Reconciliation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Track cancellations retries embeddings verifier calls delayed usage and uncertain provider billing without double charge.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M11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consumed reserved remaining forecasts and audited adjustments with delegated management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M11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Standalone boundary</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Expose metering and allocation services before AI providers are enabled; AI release depends on budget enforcement.</w:t>
            </w:r>
          </w:p>
        </w:tc>
      </w:tr>
    </w:tbl>
    <w:p>
      <w:bookmarkStart w:id="38" w:name="orca_ch_038"/>
      <w:pPr>
        <w:pStyle w:val="Tenant_Heading1"/>
      </w:pPr>
      <w:r>
        <w:t>M11 AI budgets settings</w:t>
      </w:r>
      <w:bookmarkEnd w:id="38"/>
    </w:p>
    <w:p>
      <w:r>
        <w:t>ECFG M11 | Required dependencies: M01 M02; M10 depends on this engine.</w:t>
      </w:r>
    </w:p>
    <w:p>
      <w:r>
        <w:t>Permission boundary: budget.read/manage/group.assign/reconcile; adjustment grant only if canonically registered.</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tenantTokenLimit</w:t>
            </w:r>
          </w:p>
        </w:tc>
        <w:tc>
          <w:tcPr>
            <w:tcW w:type="dxa" w:w="2016"/>
          </w:tcPr>
          <w:p>
            <w:pPr>
              <w:spacing w:after="60" w:before="40" w:line="240" w:lineRule="auto"/>
            </w:pPr>
            <w:r>
              <w:rPr>
                <w:sz w:val="18"/>
              </w:rPr>
              <w:t>int64; unset</w:t>
            </w:r>
          </w:p>
        </w:tc>
        <w:tc>
          <w:tcPr>
            <w:tcW w:type="dxa" w:w="5400"/>
          </w:tcPr>
          <w:p>
            <w:pPr>
              <w:spacing w:after="60" w:before="40" w:line="240" w:lineRule="auto"/>
            </w:pPr>
            <w:r>
              <w:rPr>
                <w:sz w:val="18"/>
              </w:rPr>
              <w:t>Non-negative approved cap; zero blocks new billable usage. Atomic reservation checks all mandatory caps.</w:t>
            </w:r>
          </w:p>
        </w:tc>
      </w:tr>
      <w:tr>
        <w:trPr>
          <w:cantSplit/>
        </w:trPr>
        <w:tc>
          <w:tcPr>
            <w:tcW w:type="dxa" w:w="2448"/>
          </w:tcPr>
          <w:p>
            <w:pPr>
              <w:spacing w:after="60" w:before="40" w:line="240" w:lineRule="auto"/>
            </w:pPr>
            <w:r>
              <w:rPr>
                <w:sz w:val="18"/>
              </w:rPr>
              <w:t>tenantMoneyLimit</w:t>
            </w:r>
          </w:p>
        </w:tc>
        <w:tc>
          <w:tcPr>
            <w:tcW w:type="dxa" w:w="2016"/>
          </w:tcPr>
          <w:p>
            <w:pPr>
              <w:spacing w:after="60" w:before="40" w:line="240" w:lineRule="auto"/>
            </w:pPr>
            <w:r>
              <w:rPr>
                <w:sz w:val="18"/>
              </w:rPr>
              <w:t>decimal?; unset</w:t>
            </w:r>
          </w:p>
        </w:tc>
        <w:tc>
          <w:tcPr>
            <w:tcW w:type="dxa" w:w="5400"/>
          </w:tcPr>
          <w:p>
            <w:pPr>
              <w:spacing w:after="60" w:before="40" w:line="240" w:lineRule="auto"/>
            </w:pPr>
            <w:r>
              <w:rPr>
                <w:sz w:val="18"/>
              </w:rPr>
              <w:t>Optional monetary ceiling with currency/model price version; never compare mixed currency totals.</w:t>
            </w:r>
          </w:p>
        </w:tc>
      </w:tr>
      <w:tr>
        <w:trPr>
          <w:cantSplit/>
        </w:trPr>
        <w:tc>
          <w:tcPr>
            <w:tcW w:type="dxa" w:w="2448"/>
          </w:tcPr>
          <w:p>
            <w:pPr>
              <w:spacing w:after="60" w:before="40" w:line="240" w:lineRule="auto"/>
            </w:pPr>
            <w:r>
              <w:rPr>
                <w:sz w:val="18"/>
              </w:rPr>
              <w:t>chargeGroupPolicyRef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One deterministic primary charge group per user plus mandatory scope caps; group changes retain tenant/user consumption.</w:t>
            </w:r>
          </w:p>
        </w:tc>
      </w:tr>
      <w:tr>
        <w:trPr>
          <w:cantSplit/>
        </w:trPr>
        <w:tc>
          <w:tcPr>
            <w:tcW w:type="dxa" w:w="2448"/>
          </w:tcPr>
          <w:p>
            <w:pPr>
              <w:spacing w:after="60" w:before="40" w:line="240" w:lineRule="auto"/>
            </w:pPr>
            <w:r>
              <w:rPr>
                <w:sz w:val="18"/>
              </w:rPr>
              <w:t>userLimitPolicyRef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Per-user limits and explicit time-bounded exceptions within tenant ceiling.</w:t>
            </w:r>
          </w:p>
        </w:tc>
      </w:tr>
      <w:tr>
        <w:trPr>
          <w:cantSplit/>
        </w:trPr>
        <w:tc>
          <w:tcPr>
            <w:tcW w:type="dxa" w:w="2448"/>
          </w:tcPr>
          <w:p>
            <w:pPr>
              <w:spacing w:after="60" w:before="40" w:line="240" w:lineRule="auto"/>
            </w:pPr>
            <w:r>
              <w:rPr>
                <w:sz w:val="18"/>
              </w:rPr>
              <w:t>serviceLimitPolicyRef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Indexing/automation/service identity budgets remain reserved and attributable.</w:t>
            </w:r>
          </w:p>
        </w:tc>
      </w:tr>
      <w:tr>
        <w:trPr>
          <w:cantSplit/>
        </w:trPr>
        <w:tc>
          <w:tcPr>
            <w:tcW w:type="dxa" w:w="2448"/>
          </w:tcPr>
          <w:p>
            <w:pPr>
              <w:spacing w:after="60" w:before="40" w:line="240" w:lineRule="auto"/>
            </w:pPr>
            <w:r>
              <w:rPr>
                <w:sz w:val="18"/>
              </w:rPr>
              <w:t>periodPolicyRef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Reset boundary, time zone and rollover policy; no UI counter reset that erases usage.</w:t>
            </w:r>
          </w:p>
        </w:tc>
      </w:tr>
      <w:tr>
        <w:trPr>
          <w:cantSplit/>
        </w:trPr>
        <w:tc>
          <w:tcPr>
            <w:tcW w:type="dxa" w:w="2448"/>
          </w:tcPr>
          <w:p>
            <w:pPr>
              <w:spacing w:after="60" w:before="40" w:line="240" w:lineRule="auto"/>
            </w:pPr>
            <w:r>
              <w:rPr>
                <w:sz w:val="18"/>
              </w:rPr>
              <w:t>priceCatalogueRef</w:t>
            </w:r>
          </w:p>
        </w:tc>
        <w:tc>
          <w:tcPr>
            <w:tcW w:type="dxa" w:w="2016"/>
          </w:tcPr>
          <w:p>
            <w:pPr>
              <w:spacing w:after="60" w:before="40" w:line="240" w:lineRule="auto"/>
            </w:pPr>
            <w:r>
              <w:rPr>
                <w:sz w:val="18"/>
              </w:rPr>
              <w:t>Ref; unset if money cap</w:t>
            </w:r>
          </w:p>
        </w:tc>
        <w:tc>
          <w:tcPr>
            <w:tcW w:type="dxa" w:w="5400"/>
          </w:tcPr>
          <w:p>
            <w:pPr>
              <w:spacing w:after="60" w:before="40" w:line="240" w:lineRule="auto"/>
            </w:pPr>
            <w:r>
              <w:rPr>
                <w:sz w:val="18"/>
              </w:rPr>
              <w:t>Pinned provider/model rates and units; mark estimates and reconcile actual receipts.</w:t>
            </w:r>
          </w:p>
        </w:tc>
      </w:tr>
      <w:tr>
        <w:trPr>
          <w:cantSplit/>
        </w:trPr>
        <w:tc>
          <w:tcPr>
            <w:tcW w:type="dxa" w:w="2448"/>
          </w:tcPr>
          <w:p>
            <w:pPr>
              <w:spacing w:after="60" w:before="40" w:line="240" w:lineRule="auto"/>
            </w:pPr>
            <w:r>
              <w:rPr>
                <w:sz w:val="18"/>
              </w:rPr>
              <w:t>usageAlertPolicyRef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Threshold recipients and hard-stop messaging; alerts do not grant overdraft authority.</w:t>
            </w:r>
          </w:p>
        </w:tc>
      </w:tr>
    </w:tbl>
    <w:p>
      <w:pPr>
        <w:pStyle w:val="Tenant_Heading2"/>
      </w:pPr>
      <w:r>
        <w:t>Lifecycle and integration</w:t>
      </w:r>
    </w:p>
    <w:p>
      <w:r>
        <w:t>Lowering a cap below already recorded usage preserves the ledger and blocks new reservations until policy permits. Reservation/cancel/settlement are atomic and retry-safe.</w:t>
      </w:r>
    </w:p>
    <w:p>
      <w:pPr>
        <w:pStyle w:val="Tenant_Heading2"/>
      </w:pPr>
      <w:r>
        <w:t>Engine acceptance scenario</w:t>
      </w:r>
    </w:p>
    <w:p>
      <w:r>
        <w:t>ECFG M11 AC: Test simultaneous final tokens, cap reduction below use, changed charge group, cancellation after unknown provider outcome and attempted M11 Off while M10 stays On.</w:t>
      </w:r>
    </w:p>
    <w:p>
      <w:r>
        <w:t>All common TSET/NAV gates apply. Values and references are server-validated in the selected tenant; generic settings edits never replace the owning engine’s publication or approval workflow.</w:t>
      </w:r>
    </w:p>
    <w:p>
      <w:bookmarkStart w:id="39" w:name="orca_ch_039"/>
      <w:pPr>
        <w:pStyle w:val="Heading1"/>
        <w:keepNext/>
        <w:pageBreakBefore/>
      </w:pPr>
      <w:r>
        <w:rPr>
          <w:color w:val="000000"/>
        </w:rPr>
        <w:t>M12 Response orchestration engine</w:t>
      </w:r>
      <w:bookmarkEnd w:id="39"/>
    </w:p>
    <w:p>
      <w:r>
        <w:t>Execute low risk automation and approved high impact actions with verification and audit.</w:t>
      </w:r>
    </w:p>
    <w:p>
      <w:r>
        <w:t>Dependencies: M01 M02 M04; target adapter required; Change optional policy gate</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Playbooks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versioned actions preconditions dependencies timeouts verification and compensating tasks.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Risk authority</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Allow tenant enabled low risk tasks automatically; require independent approval for high impact operations.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Immutable approvals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Bind approval to exact target parameters policy playbook and expiry; invalidate on material change.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Execution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Recheck permissions kill switch target exclusions and source capability immediately before execution.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Results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Track accepted running verified failed unknown and compensation outcomes; do not blindly retry destructive commands.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 linkage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Where tenant policy requires a Change Request gate require an approved change reference; module absence must block that gated action rather than bypass it.</w:t>
            </w:r>
          </w:p>
        </w:tc>
      </w:tr>
    </w:tbl>
    <w:p>
      <w:pPr>
        <w:keepNext w:val="0"/>
        <w:keepLines w:val="0"/>
        <w:pageBreakBefore w:val="0"/>
        <w:spacing w:before="0" w:after="0" w:line="20" w:lineRule="exact"/>
      </w:pPr>
    </w:p>
    <w:p>
      <w:pPr>
        <w:pStyle w:val="Heading2"/>
        <w:keepNext/>
      </w:pPr>
      <w:r>
        <w:rPr>
          <w:color w:val="000000"/>
        </w:rPr>
        <w:t>Required workflow</w:t>
      </w:r>
    </w:p>
    <w:p>
      <w:r>
        <w:t>Propose -&gt; assess risk -&gt; obtain required approvals and change gate -&gt; execute -&gt; verify -&gt; record outcome -&gt; compensate if authorised.</w:t>
      </w:r>
    </w:p>
    <w:p>
      <w:pPr>
        <w:pStyle w:val="Heading2"/>
        <w:keepNext/>
      </w:pPr>
      <w:r>
        <w:rPr>
          <w:color w:val="000000"/>
        </w:rPr>
        <w:t>Acceptance criteria</w:t>
      </w:r>
    </w:p>
    <w:p>
      <w:pPr>
        <w:pStyle w:val="ListBullet"/>
      </w:pPr>
      <w:r>
        <w:t>M12 AC1 Requester cannot approve their own high impact action.</w:t>
      </w:r>
    </w:p>
    <w:p>
      <w:pPr>
        <w:pStyle w:val="ListBullet"/>
      </w:pPr>
      <w:r>
        <w:t>M12 AC2 Timeout yields unknown outcome and read back before possible reissue.</w:t>
      </w:r>
    </w:p>
    <w:p>
      <w:pPr>
        <w:pStyle w:val="ListBullet"/>
      </w:pPr>
      <w:r>
        <w:t>M12 AC3 Kill switch and revocation block approved but unexecuted work.</w:t>
      </w:r>
    </w:p>
    <w:p>
      <w:pPr>
        <w:pStyle w:val="ListBullet"/>
      </w:pPr>
      <w:r>
        <w:t>M12 AC4 Completion evidence proves intended effect rather than only HTTP acceptance.</w:t>
      </w:r>
    </w:p>
    <w:p>
      <w:pPr>
        <w:pStyle w:val="Heading2"/>
        <w:keepNext/>
      </w:pPr>
      <w:r>
        <w:rPr>
          <w:color w:val="000000"/>
        </w:rPr>
        <w:t>Suggested data responsibilities</w:t>
      </w:r>
    </w:p>
    <w:p>
      <w:r>
        <w:t>PlaybookVersion ActionTask Approval CommandReceipt ProviderAction Verification Compensation and PolicyGate.</w:t>
      </w:r>
    </w:p>
    <w:p>
      <w:pPr>
        <w:pStyle w:val="Heading2"/>
        <w:keepNext/>
      </w:pPr>
      <w:r>
        <w:rPr>
          <w:color w:val="000000"/>
        </w:rPr>
        <w:t>Suggested implementation direction</w:t>
      </w:r>
    </w:p>
    <w:p>
      <w:r>
        <w:t>A durable bounded state machine and customer hosted execution runner are candidates; retain original action journal and parameter hash. Exact response plugins are researched per provider.</w:t>
      </w:r>
    </w:p>
    <w:p>
      <w:pPr>
        <w:pStyle w:val="Heading2"/>
        <w:keepNext/>
      </w:pPr>
      <w:r>
        <w:rPr>
          <w:color w:val="000000"/>
        </w:rPr>
        <w:t>Research before development</w:t>
      </w:r>
    </w:p>
    <w:p>
      <w:r>
        <w:t>Confirm action allowlist blast radius protected assets authority customer approval and required change types.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Risk tier</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Examples</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Execution rule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Low</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 only enrichment approved log collection draft notes routing notification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Automatic when tenant enabled policy permits and scope valid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Medium</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Narrow reversible change to a verified noncritical target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Default human approval; tenant may enable a reviewed bounded playbook</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High</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Endpoint isolation identity disable session revoke production firewall change mail purge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Explicit independent authorised approval plus customer approval when policy requires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Restricted</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Wipe evidence destruction broad identity changes arbitrary code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Disabled by default; dedicated policy and exceptional approval workflow</w:t>
            </w:r>
          </w:p>
        </w:tc>
      </w:tr>
    </w:tbl>
    <w:p>
      <w:pPr>
        <w:keepNext w:val="0"/>
        <w:keepLines w:val="0"/>
        <w:pageBreakBefore w:val="0"/>
        <w:spacing w:before="0" w:after="0" w:line="20" w:lineRule="exact"/>
      </w:pPr>
    </w:p>
    <w:p>
      <w:r>
        <w:t>AI investigates and proposes; the deterministic orchestrator decides authority. Risk is computed from action class target criticality blast radius reversibility confidence and customer policy. Confidence alone never downgrades action risk. Domain controllers emergency identities platform connectivity and protected assets are exclusion lists. An endpoint isolation can disconnect a customer runner; validate recovery path before execution. Tenant administrator cannot silently lower global minimum risk controls.</w:t>
      </w:r>
    </w:p>
    <w:p>
      <w:r>
        <w:t>Proposed -&gt; PolicyValidated -&gt; PendingApproval or Ready</w:t>
      </w:r>
    </w:p>
    <w:p>
      <w:r>
        <w:t>PendingApproval -&gt; Approved or Rejected or Expired</w:t>
      </w:r>
    </w:p>
    <w:p>
      <w:r>
        <w:t>Approved -&gt; Ready -&gt; Leased -&gt; GoAuthorised -&gt; Running -&gt; Accepted -&gt; Verifying</w:t>
      </w:r>
    </w:p>
    <w:p>
      <w:r>
        <w:t>Verifying -&gt; Succeeded or Failed or UnknownOutcome</w:t>
      </w:r>
    </w:p>
    <w:p>
      <w:r>
        <w:t>Succeeded or Failed -&gt; Compensating -&gt; Compensated or CompensationFailed; UnknownOutcome -&gt; Verifying by read back</w:t>
      </w:r>
    </w:p>
    <w:p>
      <w:r>
        <w:t>Any not yet executed state -&gt; Cancelled (record reason)</w:t>
      </w:r>
    </w:p>
    <w:p>
      <w:r>
        <w:t>Approval binds tenant incident action target parametersHash playbookVersion policyVersion and expiry. Any material edit invalidates approval. Requester and approver must differ; AI and workload identities cannot approve. Recheck UAM current policy target state approval expiry and kill switch at execution. Acquire target action lock and apply blast radius quota. Store provider operation ID, poll terminal state and verify intended effect independently. HTTP 201 or accepted is not proof of successful containment [S08]. Timeout creates UnknownOutcome; never blindly reissue a destructive operation. Compensating actions are separately authorised and may not restore all prior state. No generic rollback promise.</w:t>
      </w:r>
    </w:p>
    <w:p>
      <w:r>
        <w:t>Example endpoint isolation command maps to POST https://api.security.microsoft.com/api/machines/{id}/isolate with Comment and IsolationType, and requires Machine.Isolate. Read machine action status until terminal state; attach result evidence. Other response plugins include approved scan collection identity remediation and cloud control changes, each with its own supported endpoint, permission, preflight, verification and compensation contract. Initial playbooks are signed versioned ordered steps with preconditions timeout verification and compensation. Add bounded fan-out only when a reviewed use case requires it. Native action endpoints are reverified at M06 and M12 inception; no hunting uses native endpoints.</w:t>
      </w:r>
    </w:p>
    <w:p>
      <w:pPr>
        <w:pStyle w:val="Heading2"/>
        <w:keepNext/>
      </w:pPr>
      <w:r>
        <w:rPr>
          <w:color w:val="000000"/>
        </w:rPr>
        <w:t>M12 Execution authority and uncertainty</w:t>
      </w:r>
    </w:p>
    <w:p>
      <w:r>
        <w:t>M12 V5 1 Commands and approval records are operator-held with immutable parameter hashes and independent approvers. Provider or runner execution requires a fresh signed go decision; expiry revocation kill switch target exclusion and deployment epoch are checked after leasing, at the execution boundary.</w:t>
      </w:r>
    </w:p>
    <w:p>
      <w:r>
        <w:t>M12 V5 2 UnknownOutcome blocks reissue until read back resolves it. Partial failure can enter separately authorised compensation. Linear ordered playbooks satisfy the first release; arbitrary shell execution and universal rollback are excluded. Enforce action quotas and per-target concurrency without claiming exactly-once effects where the provider cannot guarantee them.</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M12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Playbooks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Manage versioned actions preconditions dependencies timeouts verification and compensating tasks.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Risk authority</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Allow tenant enabled low risk tasks automatically; require independent approval for high impact operations.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M12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Immutable approvals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Bind approval to exact target parameters policy playbook and expiry; invalidate on material change.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Execution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Recheck permissions kill switch target exclusions and source capability immediately before execution.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M12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Results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Track accepted running verified failed unknown and compensation outcomes; do not blindly retry destructive commands.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M12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 linkage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Where tenant policy requires a Change Request gate require an approved change reference; module absence must block that gated action rather than bypass it.</w:t>
            </w:r>
          </w:p>
        </w:tc>
      </w:tr>
    </w:tbl>
    <w:p>
      <w:bookmarkStart w:id="40" w:name="orca_ch_040"/>
      <w:pPr>
        <w:pStyle w:val="Tenant_Heading1"/>
      </w:pPr>
      <w:r>
        <w:t>M12 Response orchestration settings</w:t>
      </w:r>
      <w:bookmarkEnd w:id="40"/>
    </w:p>
    <w:p>
      <w:r>
        <w:t>ECFG M12 | Required dependencies: M01 M02 M04; target adapter; M13 when policy requires Change.</w:t>
      </w:r>
    </w:p>
    <w:p>
      <w:r>
        <w:t>Permission boundary: response.propose/approve/execute/verify/compensate; playbook.publish.</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playbookRefs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Pin reviewed step/precondition/deadline/verification versions. No arbitrary script entered through settings.</w:t>
            </w:r>
          </w:p>
        </w:tc>
      </w:tr>
      <w:tr>
        <w:trPr>
          <w:cantSplit/>
        </w:trPr>
        <w:tc>
          <w:tcPr>
            <w:tcW w:type="dxa" w:w="2448"/>
          </w:tcPr>
          <w:p>
            <w:pPr>
              <w:spacing w:after="60" w:before="40" w:line="240" w:lineRule="auto"/>
            </w:pPr>
            <w:r>
              <w:rPr>
                <w:sz w:val="18"/>
              </w:rPr>
              <w:t>adapterScopeRefs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target/action pairs and environment; Read/Respond identities separated.</w:t>
            </w:r>
          </w:p>
        </w:tc>
      </w:tr>
      <w:tr>
        <w:trPr>
          <w:cantSplit/>
        </w:trPr>
        <w:tc>
          <w:tcPr>
            <w:tcW w:type="dxa" w:w="2448"/>
          </w:tcPr>
          <w:p>
            <w:pPr>
              <w:spacing w:after="60" w:before="40" w:line="240" w:lineRule="auto"/>
            </w:pPr>
            <w:r>
              <w:rPr>
                <w:sz w:val="18"/>
              </w:rPr>
              <w:t>riskPolicyRef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Low/medium/high impact classification and independent approval requirements.</w:t>
            </w:r>
          </w:p>
        </w:tc>
      </w:tr>
      <w:tr>
        <w:trPr>
          <w:cantSplit/>
        </w:trPr>
        <w:tc>
          <w:tcPr>
            <w:tcW w:type="dxa" w:w="2448"/>
          </w:tcPr>
          <w:p>
            <w:pPr>
              <w:spacing w:after="60" w:before="40" w:line="240" w:lineRule="auto"/>
            </w:pPr>
            <w:r>
              <w:rPr>
                <w:sz w:val="18"/>
              </w:rPr>
              <w:t>approvalPolicyRef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Requester cannot approve own high-impact action; policy binds exact parameters/target and expiry.</w:t>
            </w:r>
          </w:p>
        </w:tc>
      </w:tr>
      <w:tr>
        <w:trPr>
          <w:cantSplit/>
        </w:trPr>
        <w:tc>
          <w:tcPr>
            <w:tcW w:type="dxa" w:w="2448"/>
          </w:tcPr>
          <w:p>
            <w:pPr>
              <w:spacing w:after="60" w:before="40" w:line="240" w:lineRule="auto"/>
            </w:pPr>
            <w:r>
              <w:rPr>
                <w:sz w:val="18"/>
              </w:rPr>
              <w:t>changeGateMode</w:t>
            </w:r>
          </w:p>
        </w:tc>
        <w:tc>
          <w:tcPr>
            <w:tcW w:type="dxa" w:w="2016"/>
          </w:tcPr>
          <w:p>
            <w:pPr>
              <w:spacing w:after="60" w:before="40" w:line="240" w:lineRule="auto"/>
            </w:pPr>
            <w:r>
              <w:rPr>
                <w:sz w:val="18"/>
              </w:rPr>
              <w:t>enum; inherit</w:t>
            </w:r>
          </w:p>
        </w:tc>
        <w:tc>
          <w:tcPr>
            <w:tcW w:type="dxa" w:w="5400"/>
          </w:tcPr>
          <w:p>
            <w:pPr>
              <w:spacing w:after="60" w:before="40" w:line="240" w:lineRule="auto"/>
            </w:pPr>
            <w:r>
              <w:rPr>
                <w:sz w:val="18"/>
              </w:rPr>
              <w:t>Required/PolicyDriven; missing required M13/approved change blocks the action, never bypasses it.</w:t>
            </w:r>
          </w:p>
        </w:tc>
      </w:tr>
      <w:tr>
        <w:trPr>
          <w:cantSplit/>
        </w:trPr>
        <w:tc>
          <w:tcPr>
            <w:tcW w:type="dxa" w:w="2448"/>
          </w:tcPr>
          <w:p>
            <w:pPr>
              <w:spacing w:after="60" w:before="40" w:line="240" w:lineRule="auto"/>
            </w:pPr>
            <w:r>
              <w:rPr>
                <w:sz w:val="18"/>
              </w:rPr>
              <w:t>executionWindowRef</w:t>
            </w:r>
          </w:p>
        </w:tc>
        <w:tc>
          <w:tcPr>
            <w:tcW w:type="dxa" w:w="2016"/>
          </w:tcPr>
          <w:p>
            <w:pPr>
              <w:spacing w:after="60" w:before="40" w:line="240" w:lineRule="auto"/>
            </w:pPr>
            <w:r>
              <w:rPr>
                <w:sz w:val="18"/>
              </w:rPr>
              <w:t>Ref; inherit</w:t>
            </w:r>
          </w:p>
        </w:tc>
        <w:tc>
          <w:tcPr>
            <w:tcW w:type="dxa" w:w="5400"/>
          </w:tcPr>
          <w:p>
            <w:pPr>
              <w:spacing w:after="60" w:before="40" w:line="240" w:lineRule="auto"/>
            </w:pPr>
            <w:r>
              <w:rPr>
                <w:sz w:val="18"/>
              </w:rPr>
              <w:t>Approved maintenance/response windows and target exclusions.</w:t>
            </w:r>
          </w:p>
        </w:tc>
      </w:tr>
      <w:tr>
        <w:trPr>
          <w:cantSplit/>
        </w:trPr>
        <w:tc>
          <w:tcPr>
            <w:tcW w:type="dxa" w:w="2448"/>
          </w:tcPr>
          <w:p>
            <w:pPr>
              <w:spacing w:after="60" w:before="40" w:line="240" w:lineRule="auto"/>
            </w:pPr>
            <w:r>
              <w:rPr>
                <w:sz w:val="18"/>
              </w:rPr>
              <w:t>killSwitch</w:t>
            </w:r>
          </w:p>
        </w:tc>
        <w:tc>
          <w:tcPr>
            <w:tcW w:type="dxa" w:w="2016"/>
          </w:tcPr>
          <w:p>
            <w:pPr>
              <w:spacing w:after="60" w:before="40" w:line="240" w:lineRule="auto"/>
            </w:pPr>
            <w:r>
              <w:rPr>
                <w:sz w:val="18"/>
              </w:rPr>
              <w:t>bool; inherit fail-closed policy</w:t>
            </w:r>
          </w:p>
        </w:tc>
        <w:tc>
          <w:tcPr>
            <w:tcW w:type="dxa" w:w="5400"/>
          </w:tcPr>
          <w:p>
            <w:pPr>
              <w:spacing w:after="60" w:before="40" w:line="240" w:lineRule="auto"/>
            </w:pPr>
            <w:r>
              <w:rPr>
                <w:sz w:val="18"/>
              </w:rPr>
              <w:t>Emergency dispatch stop is checked live; resetting it is separately authorised and audited.</w:t>
            </w:r>
          </w:p>
        </w:tc>
      </w:tr>
      <w:tr>
        <w:trPr>
          <w:cantSplit/>
        </w:trPr>
        <w:tc>
          <w:tcPr>
            <w:tcW w:type="dxa" w:w="2448"/>
          </w:tcPr>
          <w:p>
            <w:pPr>
              <w:spacing w:after="60" w:before="40" w:line="240" w:lineRule="auto"/>
            </w:pPr>
            <w:r>
              <w:rPr>
                <w:sz w:val="18"/>
              </w:rPr>
              <w:t>verificationPolicyRef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Outcome receipt/read-back and approved compensation; unknown destructive effect is not retryable blindly.</w:t>
            </w:r>
          </w:p>
        </w:tc>
      </w:tr>
    </w:tbl>
    <w:p>
      <w:pPr>
        <w:pStyle w:val="Tenant_Heading2"/>
      </w:pPr>
      <w:r>
        <w:t>Lifecycle and integration</w:t>
      </w:r>
    </w:p>
    <w:p>
      <w:r>
        <w:t>Off stops new dispatch; existing go/accepted-provider races retain bounded semantics. Continue only registered verification/reconciliation with preserved receipts.</w:t>
      </w:r>
    </w:p>
    <w:p>
      <w:pPr>
        <w:pStyle w:val="Tenant_Heading2"/>
      </w:pPr>
      <w:r>
        <w:t>Engine acceptance scenario</w:t>
      </w:r>
    </w:p>
    <w:p>
      <w:r>
        <w:t>ECFG M12 AC: Test self-approval rejection, target/hash substitution, replayed go decision, revoked approval, kill switch race and provider accepted-but-timeout recovery.</w:t>
      </w:r>
    </w:p>
    <w:p>
      <w:r>
        <w:t>All common TSET/NAV gates apply. Values and references are server-validated in the selected tenant; generic settings edits never replace the owning engine’s publication or approval workflow.</w:t>
      </w:r>
    </w:p>
    <w:p>
      <w:bookmarkStart w:id="41" w:name="orca_ch_041"/>
      <w:pPr>
        <w:pStyle w:val="Heading1"/>
        <w:keepNext/>
        <w:pageBreakBefore/>
      </w:pPr>
      <w:r>
        <w:rPr>
          <w:color w:val="000000"/>
        </w:rPr>
        <w:t>M13 Change Request engine</w:t>
      </w:r>
      <w:bookmarkEnd w:id="41"/>
    </w:p>
    <w:p>
      <w:r>
        <w:t>Manage controlled technical changes with risk approvals scheduling execution evidence and post implementation review.</w:t>
      </w:r>
    </w:p>
    <w:p>
      <w:r>
        <w:t>Dependencies: M01 M02; optional Assets File Store Routing Response</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 register</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search and manage Standard Normal and Emergency change requests with requester owner purpose category affected service and assets.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Planning</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Capture impact risk security implications implementation plan validation rollback plan maintenance window and dependencies.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Assessment</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Route risk review CAB or delegated approvals; separate requester approver and implementer where required by policy.</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Scheduling</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Detect overlapping affected asset or service windows and freeze conflicts; record authorised overrides.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Implementation</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Record approved version implementer actual start finish results verification rollback and communication.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Emergency process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policy authorised emergency approval and retrospective review without a universal unapproved bypass.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Relationships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Link incidents problems controls files assets and automated response tasks; preserve referenced versions.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Closure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Require post implementation review outcome residual risks and outstanding actions before close.</w:t>
            </w:r>
          </w:p>
        </w:tc>
      </w:tr>
    </w:tbl>
    <w:p>
      <w:pPr>
        <w:keepNext w:val="0"/>
        <w:keepLines w:val="0"/>
        <w:pageBreakBefore w:val="0"/>
        <w:spacing w:before="0" w:after="0" w:line="20" w:lineRule="exact"/>
      </w:pPr>
    </w:p>
    <w:p>
      <w:pPr>
        <w:pStyle w:val="Heading2"/>
        <w:keepNext/>
      </w:pPr>
      <w:r>
        <w:rPr>
          <w:color w:val="000000"/>
        </w:rPr>
        <w:t>Required workflow</w:t>
      </w:r>
    </w:p>
    <w:p>
      <w:r>
        <w:t>Draft -&gt; Submitted -&gt; Assessed -&gt; AwaitingApproval -&gt; Approved -&gt; Scheduled -&gt; Implementing -&gt; Review -&gt; Closed; rejected cancelled failed rolled back and emergency branches remain audited.</w:t>
      </w:r>
    </w:p>
    <w:p>
      <w:pPr>
        <w:pStyle w:val="Heading2"/>
        <w:keepNext/>
      </w:pPr>
      <w:r>
        <w:rPr>
          <w:color w:val="000000"/>
        </w:rPr>
        <w:t>Acceptance criteria</w:t>
      </w:r>
    </w:p>
    <w:p>
      <w:pPr>
        <w:pStyle w:val="ListBullet"/>
      </w:pPr>
      <w:r>
        <w:t>M13 AC1 Changes to scope risk target or plan after approval invalidate or trigger reapproval under policy.</w:t>
      </w:r>
    </w:p>
    <w:p>
      <w:pPr>
        <w:pStyle w:val="ListBullet"/>
      </w:pPr>
      <w:r>
        <w:t>M13 AC2 A freeze or conflicting window is blocked or requires an explicit authorised exception.</w:t>
      </w:r>
    </w:p>
    <w:p>
      <w:pPr>
        <w:pStyle w:val="ListBullet"/>
      </w:pPr>
      <w:r>
        <w:t>M13 AC3 An approved change does not itself grant execute permissions.</w:t>
      </w:r>
    </w:p>
    <w:p>
      <w:pPr>
        <w:pStyle w:val="ListBullet"/>
      </w:pPr>
      <w:r>
        <w:t>M13 AC4 Emergency changes have designated authority and retrospective review due dates.</w:t>
      </w:r>
    </w:p>
    <w:p>
      <w:pPr>
        <w:pStyle w:val="Heading2"/>
        <w:keepNext/>
      </w:pPr>
      <w:r>
        <w:rPr>
          <w:color w:val="000000"/>
        </w:rPr>
        <w:t>Suggested data responsibilities</w:t>
      </w:r>
    </w:p>
    <w:p>
      <w:r>
        <w:t>ChangeRequest ChangeVersion AffectedItem RiskAssessment ChangeApproval ScheduleConflict ExecutionRecord ValidationResult Review and Exception.</w:t>
      </w:r>
    </w:p>
    <w:p>
      <w:pPr>
        <w:pStyle w:val="Heading2"/>
        <w:keepNext/>
      </w:pPr>
      <w:r>
        <w:rPr>
          <w:color w:val="000000"/>
        </w:rPr>
        <w:t>Suggested implementation direction</w:t>
      </w:r>
    </w:p>
    <w:p>
      <w:r>
        <w:t>A versioned lifecycle with reusable approvals and routing contracts is suggested. Keep change records separate from incident lifecycle and response approval while linking them. CAB is configurable rather than hardcoded to named individuals.</w:t>
      </w:r>
    </w:p>
    <w:p>
      <w:pPr>
        <w:pStyle w:val="Heading2"/>
        <w:keepNext/>
      </w:pPr>
      <w:r>
        <w:rPr>
          <w:color w:val="000000"/>
        </w:rPr>
        <w:t>Research before development</w:t>
      </w:r>
    </w:p>
    <w:p>
      <w:r>
        <w:t>Confirm standard templates risk scoring CAB quorum delegated thresholds freeze calendars emergency retrospective SLA and whether execution is tracked only or invokes response plugins.</w:t>
      </w:r>
    </w:p>
    <w:p>
      <w:pPr>
        <w:pStyle w:val="Heading2"/>
        <w:keepNext/>
      </w:pPr>
      <w:r>
        <w:rPr>
          <w:color w:val="000000"/>
        </w:rPr>
        <w:t>M13 Change Request aggregate design</w:t>
      </w:r>
    </w:p>
    <w:p>
      <w:r>
        <w:t>M13 V5 1 Own change records version risk impact assets implementation and rollback plan window conflicts and post-change evidence. A material edit creates a new plan version and invalidates prior approval. ApprovedCommand references bind the exact approval projection and parameter hash through the foundation approval service.</w:t>
      </w:r>
    </w:p>
    <w:p>
      <w:r>
        <w:t>M13 V5 2 Create change plans from cost licence posture and security findings without requiring an incident. Scheduling does not execute a provider action. The owning engine publishes change facts; M12 receives approved immutable parameters through a port and policy determines the mandatory change gate.</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M13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 register</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search and manage Standard Normal and Emergency change requests with requester owner purpose category affected service and assets.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Planning</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Capture impact risk security implications implementation plan validation rollback plan maintenance window and dependencies.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M13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Assessment</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Route risk review CAB or delegated approvals; separate requester approver and implementer where required by policy.</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Scheduling</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Detect overlapping affected asset or service windows and freeze conflicts; record authorised overrides.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M13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Implementation</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Record approved version implementer actual start finish results verification rollback and communication.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Emergency process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policy authorised emergency approval and retrospective review without a universal unapproved bypass.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M13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Relationships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Link incidents problems controls files assets and automated response tasks; preserve referenced versions.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Closure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Require post implementation review outcome residual risks and outstanding actions before close.</w:t>
            </w:r>
          </w:p>
        </w:tc>
      </w:tr>
    </w:tbl>
    <w:p>
      <w:bookmarkStart w:id="42" w:name="orca_ch_042"/>
      <w:pPr>
        <w:pStyle w:val="Tenant_Heading1"/>
      </w:pPr>
      <w:r>
        <w:t>M13 Change Requests settings</w:t>
      </w:r>
      <w:bookmarkEnd w:id="42"/>
    </w:p>
    <w:p>
      <w:r>
        <w:t>ECFG M13 | Required dependencies: M01 M02; optional M07 M03 M09 M12.</w:t>
      </w:r>
    </w:p>
    <w:p>
      <w:r>
        <w:t>Permission boundary: change.read/request/manage/approve/schedule/review.</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changeTypeRefs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standard/normal/emergency profiles with independent risk rules.</w:t>
            </w:r>
          </w:p>
        </w:tc>
      </w:tr>
      <w:tr>
        <w:trPr>
          <w:cantSplit/>
        </w:trPr>
        <w:tc>
          <w:tcPr>
            <w:tcW w:type="dxa" w:w="2448"/>
          </w:tcPr>
          <w:p>
            <w:pPr>
              <w:spacing w:after="60" w:before="40" w:line="240" w:lineRule="auto"/>
            </w:pPr>
            <w:r>
              <w:rPr>
                <w:sz w:val="18"/>
              </w:rPr>
              <w:t>workflowRef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Pinned transitions/preconditions; arbitrary status patch is not allowed.</w:t>
            </w:r>
          </w:p>
        </w:tc>
      </w:tr>
      <w:tr>
        <w:trPr>
          <w:cantSplit/>
        </w:trPr>
        <w:tc>
          <w:tcPr>
            <w:tcW w:type="dxa" w:w="2448"/>
          </w:tcPr>
          <w:p>
            <w:pPr>
              <w:spacing w:after="60" w:before="40" w:line="240" w:lineRule="auto"/>
            </w:pPr>
            <w:r>
              <w:rPr>
                <w:sz w:val="18"/>
              </w:rPr>
              <w:t>riskPolicyRef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Impact classification, critical-target rules and evidence required for review.</w:t>
            </w:r>
          </w:p>
        </w:tc>
      </w:tr>
      <w:tr>
        <w:trPr>
          <w:cantSplit/>
        </w:trPr>
        <w:tc>
          <w:tcPr>
            <w:tcW w:type="dxa" w:w="2448"/>
          </w:tcPr>
          <w:p>
            <w:pPr>
              <w:spacing w:after="60" w:before="40" w:line="240" w:lineRule="auto"/>
            </w:pPr>
            <w:r>
              <w:rPr>
                <w:sz w:val="18"/>
              </w:rPr>
              <w:t>approvalPolicyRef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Independent approval and emergency procedure; cannot be weakened by changing tenant settings on a pending command.</w:t>
            </w:r>
          </w:p>
        </w:tc>
      </w:tr>
      <w:tr>
        <w:trPr>
          <w:cantSplit/>
        </w:trPr>
        <w:tc>
          <w:tcPr>
            <w:tcW w:type="dxa" w:w="2448"/>
          </w:tcPr>
          <w:p>
            <w:pPr>
              <w:spacing w:after="60" w:before="40" w:line="240" w:lineRule="auto"/>
            </w:pPr>
            <w:r>
              <w:rPr>
                <w:sz w:val="18"/>
              </w:rPr>
              <w:t>calendarRef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Maintenance windows, freeze/conflict policy and time zone.</w:t>
            </w:r>
          </w:p>
        </w:tc>
      </w:tr>
      <w:tr>
        <w:trPr>
          <w:cantSplit/>
        </w:trPr>
        <w:tc>
          <w:tcPr>
            <w:tcW w:type="dxa" w:w="2448"/>
          </w:tcPr>
          <w:p>
            <w:pPr>
              <w:spacing w:after="60" w:before="40" w:line="240" w:lineRule="auto"/>
            </w:pPr>
            <w:r>
              <w:rPr>
                <w:sz w:val="18"/>
              </w:rPr>
              <w:t>rollbackPolicyRef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Versioned rollback/verification evidence; compensation is not automatic irreversible undo.</w:t>
            </w:r>
          </w:p>
        </w:tc>
      </w:tr>
      <w:tr>
        <w:trPr>
          <w:cantSplit/>
        </w:trPr>
        <w:tc>
          <w:tcPr>
            <w:tcW w:type="dxa" w:w="2448"/>
          </w:tcPr>
          <w:p>
            <w:pPr>
              <w:spacing w:after="60" w:before="40" w:line="240" w:lineRule="auto"/>
            </w:pPr>
            <w:r>
              <w:rPr>
                <w:sz w:val="18"/>
              </w:rPr>
              <w:t>reviewPolicyRef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Post-implementation review and closure evidence; links retain independent permissions.</w:t>
            </w:r>
          </w:p>
        </w:tc>
      </w:tr>
    </w:tbl>
    <w:p>
      <w:pPr>
        <w:pStyle w:val="Tenant_Heading2"/>
      </w:pPr>
      <w:r>
        <w:t>Lifecycle and integration</w:t>
      </w:r>
    </w:p>
    <w:p>
      <w:r>
        <w:t>When M13 is Off, any M12 capability whose policy mandates Change approval is blocked. Preserve approvals/evidence; re-enable does not re-approve expired changes.</w:t>
      </w:r>
    </w:p>
    <w:p>
      <w:pPr>
        <w:pStyle w:val="Tenant_Heading2"/>
      </w:pPr>
      <w:r>
        <w:t>Engine acceptance scenario</w:t>
      </w:r>
    </w:p>
    <w:p>
      <w:r>
        <w:t>ECFG M13 AC: Test freeze-window conflict, requester-as-approver, stale pending approval policy, unavailable asset link and M12 mandatory Change gate.</w:t>
      </w:r>
    </w:p>
    <w:p>
      <w:r>
        <w:t>All common TSET/NAV gates apply. Values and references are server-validated in the selected tenant; generic settings edits never replace the owning engine’s publication or approval workflow.</w:t>
      </w:r>
    </w:p>
    <w:p>
      <w:bookmarkStart w:id="43" w:name="orca_ch_043"/>
      <w:pPr>
        <w:pStyle w:val="Heading1"/>
        <w:keepNext/>
        <w:pageBreakBefore/>
      </w:pPr>
      <w:r>
        <w:rPr>
          <w:color w:val="000000"/>
        </w:rPr>
        <w:t>M14 Problem Management engine</w:t>
      </w:r>
      <w:bookmarkEnd w:id="43"/>
    </w:p>
    <w:p>
      <w:r>
        <w:t>Investigate recurring or significant incident causes and manage known errors workarounds and permanent resolution.</w:t>
      </w:r>
    </w:p>
    <w:p>
      <w:r>
        <w:t>Dependencies: M01 M02; incident references optional</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 register</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search prioritise and assign reactive or proactive problems with impact affected assets services symptoms and evidence.</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 linkage</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Associate multiple incidents and response episodes without merging incident records or counting them as one event.</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Root cause analysis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Record hypotheses investigation methods findings verified root cause evidence and review decisions.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Known errors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Publish scoped reviewed known error and workaround records with owner review date applicability and limitations.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Resolution</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Track permanent corrective actions and link change requests where implementation requires change control.</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Verification</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Validate fix effectiveness monitor recurrence and retain lessons before resolving or reopening.</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 assistance</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Allow AI to suggest clusters causes and workarounds with citations confidence and human review; manual operation needs no AI.</w:t>
            </w:r>
          </w:p>
        </w:tc>
      </w:tr>
    </w:tbl>
    <w:p>
      <w:pPr>
        <w:keepNext w:val="0"/>
        <w:keepLines w:val="0"/>
        <w:pageBreakBefore w:val="0"/>
        <w:spacing w:before="0" w:after="0" w:line="20" w:lineRule="exact"/>
      </w:pPr>
    </w:p>
    <w:p>
      <w:pPr>
        <w:pStyle w:val="Heading2"/>
        <w:keepNext/>
      </w:pPr>
      <w:r>
        <w:rPr>
          <w:color w:val="000000"/>
        </w:rPr>
        <w:t>Required workflow</w:t>
      </w:r>
    </w:p>
    <w:p>
      <w:r>
        <w:t>New -&gt; Triage -&gt; Investigating -&gt; RootCauseReview -&gt; KnownError or ResolutionPlanned -&gt; FixValidation -&gt; Resolved -&gt; Closed; recurrence can reopen.</w:t>
      </w:r>
    </w:p>
    <w:p>
      <w:pPr>
        <w:pStyle w:val="Heading2"/>
        <w:keepNext/>
      </w:pPr>
      <w:r>
        <w:rPr>
          <w:color w:val="000000"/>
        </w:rPr>
        <w:t>Acceptance criteria</w:t>
      </w:r>
    </w:p>
    <w:p>
      <w:pPr>
        <w:pStyle w:val="ListBullet"/>
      </w:pPr>
      <w:r>
        <w:t>M14 AC1 A suspected cause is never presented as a verified root cause.</w:t>
      </w:r>
    </w:p>
    <w:p>
      <w:pPr>
        <w:pStyle w:val="ListBullet"/>
      </w:pPr>
      <w:r>
        <w:t>M14 AC2 One problem can link several incidents without erasing their timelines or metrics.</w:t>
      </w:r>
    </w:p>
    <w:p>
      <w:pPr>
        <w:pStyle w:val="ListBullet"/>
      </w:pPr>
      <w:r>
        <w:t>M14 AC3 A workaround can be available while permanent resolution remains open.</w:t>
      </w:r>
    </w:p>
    <w:p>
      <w:pPr>
        <w:pStyle w:val="ListBullet"/>
      </w:pPr>
      <w:r>
        <w:t>M14 AC4 An unresolved change or missing effectiveness evidence prevents unqualified resolved status.</w:t>
      </w:r>
    </w:p>
    <w:p>
      <w:pPr>
        <w:pStyle w:val="Heading2"/>
        <w:keepNext/>
      </w:pPr>
      <w:r>
        <w:rPr>
          <w:color w:val="000000"/>
        </w:rPr>
        <w:t>Suggested data responsibilities</w:t>
      </w:r>
    </w:p>
    <w:p>
      <w:r>
        <w:t>Problem ProblemIncidentLink Hypothesis RootCauseFinding KnownError Workaround CorrectiveAction FixValidation and RecurrenceObservation.</w:t>
      </w:r>
    </w:p>
    <w:p>
      <w:pPr>
        <w:pStyle w:val="Heading2"/>
        <w:keepNext/>
      </w:pPr>
      <w:r>
        <w:rPr>
          <w:color w:val="000000"/>
        </w:rPr>
        <w:t>Suggested implementation direction</w:t>
      </w:r>
    </w:p>
    <w:p>
      <w:r>
        <w:t>Use a distinct problem aggregate and an access controlled known error knowledge view; permit File Store and AI engines to consume published versions only. Similarity matching is optional decision support.</w:t>
      </w:r>
    </w:p>
    <w:p>
      <w:pPr>
        <w:pStyle w:val="Heading2"/>
        <w:keepNext/>
      </w:pPr>
      <w:r>
        <w:rPr>
          <w:color w:val="000000"/>
        </w:rPr>
        <w:t>Research before development</w:t>
      </w:r>
    </w:p>
    <w:p>
      <w:r>
        <w:t>Confirm problem priorities recurrence thresholds root cause approval publication audiences review frequency and closure observation windows.</w:t>
      </w:r>
    </w:p>
    <w:p>
      <w:pPr>
        <w:pStyle w:val="Heading2"/>
        <w:keepNext/>
      </w:pPr>
      <w:r>
        <w:rPr>
          <w:color w:val="000000"/>
        </w:rPr>
        <w:t>M14 Problem aggregate design</w:t>
      </w:r>
    </w:p>
    <w:p>
      <w:r>
        <w:t>M14 V5 1 Own problem lifecycle root-cause assertions related incident and asset references known errors workaround permanent corrective actions and review dates. Keep evidence and author attribution with each assertion; incident closure does not close its linked problem.</w:t>
      </w:r>
    </w:p>
    <w:p>
      <w:r>
        <w:t>M14 V5 2 Publish versioned known errors with explicit customer visibility. Only published permitted versions enter search or AI. Enforce problem.read problem.manage problem.publish problem.export and preserve old published versions for citations and audit.</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M14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 register</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search prioritise and assign reactive or proactive problems with impact affected assets services symptoms and evidence.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M14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Incident linkage</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Associate multiple incidents and response episodes without merging incident records or counting them as one event.</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M14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Root cause analysis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Record hypotheses investigation methods findings verified root cause evidence and review decisions.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M14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Known errors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Publish scoped reviewed known error and workaround records with owner review date applicability and limitations.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M14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Resolution</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Track permanent corrective actions and link change requests where implementation requires change control.</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M14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Verification</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Validate fix effectiveness monitor recurrence and retain lessons before resolving or reopening.</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M14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 assistance</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Allow AI to suggest clusters causes and workarounds with citations confidence and human review; manual operation needs no AI.</w:t>
            </w:r>
          </w:p>
        </w:tc>
      </w:tr>
    </w:tbl>
    <w:p>
      <w:bookmarkStart w:id="44" w:name="orca_ch_044"/>
      <w:pPr>
        <w:pStyle w:val="Tenant_Heading1"/>
      </w:pPr>
      <w:r>
        <w:t>M14 Problem Management settings</w:t>
      </w:r>
      <w:bookmarkEnd w:id="44"/>
    </w:p>
    <w:p>
      <w:r>
        <w:t>ECFG M14 | Required dependencies: M01 M02; incident/change links optional.</w:t>
      </w:r>
    </w:p>
    <w:p>
      <w:r>
        <w:t>Permission boundary: problem.read/manage/publish/export.</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workflowRef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Investigation, known-error and closure transitions validated server-side.</w:t>
            </w:r>
          </w:p>
        </w:tc>
      </w:tr>
      <w:tr>
        <w:trPr>
          <w:cantSplit/>
        </w:trPr>
        <w:tc>
          <w:tcPr>
            <w:tcW w:type="dxa" w:w="2448"/>
          </w:tcPr>
          <w:p>
            <w:pPr>
              <w:spacing w:after="60" w:before="40" w:line="240" w:lineRule="auto"/>
            </w:pPr>
            <w:r>
              <w:rPr>
                <w:sz w:val="18"/>
              </w:rPr>
              <w:t>defaultOwnerRef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Eligible owner/group within tenant scope.</w:t>
            </w:r>
          </w:p>
        </w:tc>
      </w:tr>
      <w:tr>
        <w:trPr>
          <w:cantSplit/>
        </w:trPr>
        <w:tc>
          <w:tcPr>
            <w:tcW w:type="dxa" w:w="2448"/>
          </w:tcPr>
          <w:p>
            <w:pPr>
              <w:spacing w:after="60" w:before="40" w:line="240" w:lineRule="auto"/>
            </w:pPr>
            <w:r>
              <w:rPr>
                <w:sz w:val="18"/>
              </w:rPr>
              <w:t>rootCauseTaxonomyRef</w:t>
            </w:r>
          </w:p>
        </w:tc>
        <w:tc>
          <w:tcPr>
            <w:tcW w:type="dxa" w:w="2016"/>
          </w:tcPr>
          <w:p>
            <w:pPr>
              <w:spacing w:after="60" w:before="40" w:line="240" w:lineRule="auto"/>
            </w:pPr>
            <w:r>
              <w:rPr>
                <w:sz w:val="18"/>
              </w:rPr>
              <w:t>Ref; inherit</w:t>
            </w:r>
          </w:p>
        </w:tc>
        <w:tc>
          <w:tcPr>
            <w:tcW w:type="dxa" w:w="5400"/>
          </w:tcPr>
          <w:p>
            <w:pPr>
              <w:spacing w:after="60" w:before="40" w:line="240" w:lineRule="auto"/>
            </w:pPr>
            <w:r>
              <w:rPr>
                <w:sz w:val="18"/>
              </w:rPr>
              <w:t>Versioned categories, unresolved/unknown states and reporting definitions.</w:t>
            </w:r>
          </w:p>
        </w:tc>
      </w:tr>
      <w:tr>
        <w:trPr>
          <w:cantSplit/>
        </w:trPr>
        <w:tc>
          <w:tcPr>
            <w:tcW w:type="dxa" w:w="2448"/>
          </w:tcPr>
          <w:p>
            <w:pPr>
              <w:spacing w:after="60" w:before="40" w:line="240" w:lineRule="auto"/>
            </w:pPr>
            <w:r>
              <w:rPr>
                <w:sz w:val="18"/>
              </w:rPr>
              <w:t>workaroundPublicationRef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Review, audience and expiry; draft text does not become executable authority.</w:t>
            </w:r>
          </w:p>
        </w:tc>
      </w:tr>
      <w:tr>
        <w:trPr>
          <w:cantSplit/>
        </w:trPr>
        <w:tc>
          <w:tcPr>
            <w:tcW w:type="dxa" w:w="2448"/>
          </w:tcPr>
          <w:p>
            <w:pPr>
              <w:spacing w:after="60" w:before="40" w:line="240" w:lineRule="auto"/>
            </w:pPr>
            <w:r>
              <w:rPr>
                <w:sz w:val="18"/>
              </w:rPr>
              <w:t>linkPolicyRef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Incident/change relationships never grant access or cause automatic closure.</w:t>
            </w:r>
          </w:p>
        </w:tc>
      </w:tr>
      <w:tr>
        <w:trPr>
          <w:cantSplit/>
        </w:trPr>
        <w:tc>
          <w:tcPr>
            <w:tcW w:type="dxa" w:w="2448"/>
          </w:tcPr>
          <w:p>
            <w:pPr>
              <w:spacing w:after="60" w:before="40" w:line="240" w:lineRule="auto"/>
            </w:pPr>
            <w:r>
              <w:rPr>
                <w:sz w:val="18"/>
              </w:rPr>
              <w:t>evidencePolicyRef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File version links and required independent evidence before publishing findings.</w:t>
            </w:r>
          </w:p>
        </w:tc>
      </w:tr>
      <w:tr>
        <w:trPr>
          <w:cantSplit/>
        </w:trPr>
        <w:tc>
          <w:tcPr>
            <w:tcW w:type="dxa" w:w="2448"/>
          </w:tcPr>
          <w:p>
            <w:pPr>
              <w:spacing w:after="60" w:before="40" w:line="240" w:lineRule="auto"/>
            </w:pPr>
            <w:r>
              <w:rPr>
                <w:sz w:val="18"/>
              </w:rPr>
              <w:t>retentionPolicyRef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Business records, histories and holds under approved custody rules.</w:t>
            </w:r>
          </w:p>
        </w:tc>
      </w:tr>
    </w:tbl>
    <w:p>
      <w:pPr>
        <w:pStyle w:val="Tenant_Heading2"/>
      </w:pPr>
      <w:r>
        <w:t>Lifecycle and integration</w:t>
      </w:r>
    </w:p>
    <w:p>
      <w:r>
        <w:t>Off blocks ordinary problem changes/publication and hides its routes. Related incident/change records remain independently valid where permitted.</w:t>
      </w:r>
    </w:p>
    <w:p>
      <w:pPr>
        <w:pStyle w:val="Tenant_Heading2"/>
      </w:pPr>
      <w:r>
        <w:t>Engine acceptance scenario</w:t>
      </w:r>
    </w:p>
    <w:p>
      <w:r>
        <w:t>ECFG M14 AC: Test duplicate related incident linkage, inaccessible evidence, unpublished workaround disclosure and an incident closure that must not close its problem.</w:t>
      </w:r>
    </w:p>
    <w:p>
      <w:r>
        <w:t>All common TSET/NAV gates apply. Values and references are server-validated in the selected tenant; generic settings edits never replace the owning engine’s publication or approval workflow.</w:t>
      </w:r>
    </w:p>
    <w:p>
      <w:bookmarkStart w:id="45" w:name="orca_ch_045"/>
      <w:pPr>
        <w:pStyle w:val="Heading1"/>
        <w:keepNext/>
        <w:pageBreakBefore/>
      </w:pPr>
      <w:r>
        <w:rPr>
          <w:color w:val="000000"/>
        </w:rPr>
        <w:t>M15 Reporting and attack metrics engine</w:t>
      </w:r>
      <w:bookmarkEnd w:id="45"/>
    </w:p>
    <w:p>
      <w:r>
        <w:t>Provide tenant scoped incident service attack asset change problem and usage measurements.</w:t>
      </w:r>
    </w:p>
    <w:p>
      <w:r>
        <w:t>Dependencies: M01 M02; reads only installed contributors</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Operational dashboards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source freshness queues SLA assignment coverage response status and sync failures.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Attack metrics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incident trends by ATTACK technique tactic asset impact response time and control effectiveness with defined denominators.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Service management</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Report change success emergency use rollback problems known errors recurrence corrective actions and cross record links.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Asset and AI metrics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inventory coverage stale data unresolved identity and AI usage confidence quality budgets.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Authorised exports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Enforce row field sensitivity and tenant restrictions on all charts counts drilldowns and exports.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Module aware reports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Mark absent engines unavailable or not collected; never display a missing dataset as zero incidents or healthy coverage.</w:t>
            </w:r>
          </w:p>
        </w:tc>
      </w:tr>
    </w:tbl>
    <w:p>
      <w:pPr>
        <w:keepNext w:val="0"/>
        <w:keepLines w:val="0"/>
        <w:pageBreakBefore w:val="0"/>
        <w:spacing w:before="0" w:after="0" w:line="20" w:lineRule="exact"/>
      </w:pPr>
    </w:p>
    <w:p>
      <w:pPr>
        <w:pStyle w:val="Heading2"/>
        <w:keepNext/>
      </w:pPr>
      <w:r>
        <w:rPr>
          <w:color w:val="000000"/>
        </w:rPr>
        <w:t>Required workflow</w:t>
      </w:r>
    </w:p>
    <w:p>
      <w:r>
        <w:t>Consume versioned facts -&gt; apply scoped access -&gt; calculate documented metric -&gt; show freshness and denominator -&gt; drill down to evidence.</w:t>
      </w:r>
    </w:p>
    <w:p>
      <w:pPr>
        <w:pStyle w:val="Heading2"/>
        <w:keepNext/>
      </w:pPr>
      <w:r>
        <w:rPr>
          <w:color w:val="000000"/>
        </w:rPr>
        <w:t>Acceptance criteria</w:t>
      </w:r>
    </w:p>
    <w:p>
      <w:pPr>
        <w:pStyle w:val="ListBullet"/>
      </w:pPr>
      <w:r>
        <w:t>M15 AC1 Parent child ATTACK mappings and mirrored incidents do not double count totals.</w:t>
      </w:r>
    </w:p>
    <w:p>
      <w:pPr>
        <w:pStyle w:val="ListBullet"/>
      </w:pPr>
      <w:r>
        <w:t>M15 AC2 Dashboard counts cannot reveal inaccessible records.</w:t>
      </w:r>
    </w:p>
    <w:p>
      <w:pPr>
        <w:pStyle w:val="ListBullet"/>
      </w:pPr>
      <w:r>
        <w:t>M15 AC3 Missing data is distinct from a true zero.</w:t>
      </w:r>
    </w:p>
    <w:p>
      <w:pPr>
        <w:pStyle w:val="ListBullet"/>
      </w:pPr>
      <w:r>
        <w:t>M15 AC4 A module upgrade does not silently redefine historical metric formulas.</w:t>
      </w:r>
    </w:p>
    <w:p>
      <w:pPr>
        <w:pStyle w:val="Heading2"/>
        <w:keepNext/>
      </w:pPr>
      <w:r>
        <w:rPr>
          <w:color w:val="000000"/>
        </w:rPr>
        <w:t>Suggested data responsibilities</w:t>
      </w:r>
    </w:p>
    <w:p>
      <w:r>
        <w:t>MetricDefinition MetricVersion FactProjection ReportSnapshot DashboardConfiguration and ExportJob.</w:t>
      </w:r>
    </w:p>
    <w:p>
      <w:pPr>
        <w:pStyle w:val="Heading2"/>
        <w:keepNext/>
      </w:pPr>
      <w:r>
        <w:rPr>
          <w:color w:val="000000"/>
        </w:rPr>
        <w:t>Suggested implementation direction</w:t>
      </w:r>
    </w:p>
    <w:p>
      <w:r>
        <w:t>Use versioned per tenant projections and Radzen charts or original markup; source operational databases remain authoritative. Aggregation methods and refresh targets are suggestions to benchmark.</w:t>
      </w:r>
    </w:p>
    <w:p>
      <w:pPr>
        <w:pStyle w:val="Heading2"/>
        <w:keepNext/>
      </w:pPr>
      <w:r>
        <w:rPr>
          <w:color w:val="000000"/>
        </w:rPr>
        <w:t>Research before development</w:t>
      </w:r>
    </w:p>
    <w:p>
      <w:r>
        <w:t>Confirm KPI definitions time windows business calendars baselines coverage denominator disclosure thresholds and export formats.</w:t>
      </w:r>
    </w:p>
    <w:p>
      <w:pPr>
        <w:pStyle w:val="Heading2"/>
        <w:keepNext/>
      </w:pPr>
      <w:r>
        <w:rPr>
          <w:color w:val="000000"/>
        </w:rPr>
        <w:t>M15 Projection and dashboard design</w:t>
      </w:r>
    </w:p>
    <w:p>
      <w:r>
        <w:t>M15 V5 1 Consume versioned facts through owner ports or events. The projection stores eventId factId tenantId sourceRevision metricDefinitionVersion value unit model scope asOf and coverage. Idempotent replay replaces the same fact; corrected late facts update only their affected windows. Dashboards never silently sum incompatible currencies source scores or overlapping savings.</w:t>
      </w:r>
    </w:p>
    <w:p>
      <w:r>
        <w:t>M15 V5 2 Per-customer executive and technical dashboards ship with M17 to M20. Multi-customer queues and my-work arrive with incident delivery; cross-customer approvals and aggregates arrive later with explicit permissions and suppression rules. Label unavailable not collected stale and partial distinct from zero; audit exports and links recheck permission.</w:t>
      </w:r>
    </w:p>
    <w:p>
      <w:bookmarkStart w:id="46" w:name="orca_ch_046"/>
      <w:pPr>
        <w:pStyle w:val="Tenant_Heading1"/>
      </w:pPr>
      <w:r>
        <w:t>M15 Reporting and attack metrics settings</w:t>
      </w:r>
      <w:bookmarkEnd w:id="46"/>
    </w:p>
    <w:p>
      <w:r>
        <w:t>ECFG M15 | Required dependencies: M01 M02; consumes available authorised contributors.</w:t>
      </w:r>
    </w:p>
    <w:p>
      <w:r>
        <w:t>Permission boundary: dashboard.executive.read/technical.read, report.export, dashboard.crossTenant.read.</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contributorEngineIds</w:t>
            </w:r>
          </w:p>
        </w:tc>
        <w:tc>
          <w:tcPr>
            <w:tcW w:type="dxa" w:w="2016"/>
          </w:tcPr>
          <w:p>
            <w:pPr>
              <w:spacing w:after="60" w:before="40" w:line="240" w:lineRule="auto"/>
            </w:pPr>
            <w:r>
              <w:rPr>
                <w:sz w:val="18"/>
              </w:rPr>
              <w:t>EngineId[]; available set</w:t>
            </w:r>
          </w:p>
        </w:tc>
        <w:tc>
          <w:tcPr>
            <w:tcW w:type="dxa" w:w="5400"/>
          </w:tcPr>
          <w:p>
            <w:pPr>
              <w:spacing w:after="60" w:before="40" w:line="240" w:lineRule="auto"/>
            </w:pPr>
            <w:r>
              <w:rPr>
                <w:sz w:val="18"/>
              </w:rPr>
              <w:t>Only installed/effective contributors; missing data is unavailable, never a fabricated zero.</w:t>
            </w:r>
          </w:p>
        </w:tc>
      </w:tr>
      <w:tr>
        <w:trPr>
          <w:cantSplit/>
        </w:trPr>
        <w:tc>
          <w:tcPr>
            <w:tcW w:type="dxa" w:w="2448"/>
          </w:tcPr>
          <w:p>
            <w:pPr>
              <w:spacing w:after="60" w:before="40" w:line="240" w:lineRule="auto"/>
            </w:pPr>
            <w:r>
              <w:rPr>
                <w:sz w:val="18"/>
              </w:rPr>
              <w:t>metricDefinitionRefs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Pin owner, fact schema/version, observation window and unit/currency/score model.</w:t>
            </w:r>
          </w:p>
        </w:tc>
      </w:tr>
      <w:tr>
        <w:trPr>
          <w:cantSplit/>
        </w:trPr>
        <w:tc>
          <w:tcPr>
            <w:tcW w:type="dxa" w:w="2448"/>
          </w:tcPr>
          <w:p>
            <w:pPr>
              <w:spacing w:after="60" w:before="40" w:line="240" w:lineRule="auto"/>
            </w:pPr>
            <w:r>
              <w:rPr>
                <w:sz w:val="18"/>
              </w:rPr>
              <w:t>projectionPolicyRef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Idempotent factId upsert and late-fact recomputation of affected periods.</w:t>
            </w:r>
          </w:p>
        </w:tc>
      </w:tr>
      <w:tr>
        <w:trPr>
          <w:cantSplit/>
        </w:trPr>
        <w:tc>
          <w:tcPr>
            <w:tcW w:type="dxa" w:w="2448"/>
          </w:tcPr>
          <w:p>
            <w:pPr>
              <w:spacing w:after="60" w:before="40" w:line="240" w:lineRule="auto"/>
            </w:pPr>
            <w:r>
              <w:rPr>
                <w:sz w:val="18"/>
              </w:rPr>
              <w:t>dashboardAudienceRef</w:t>
            </w:r>
          </w:p>
        </w:tc>
        <w:tc>
          <w:tcPr>
            <w:tcW w:type="dxa" w:w="2016"/>
          </w:tcPr>
          <w:p>
            <w:pPr>
              <w:spacing w:after="60" w:before="40" w:line="240" w:lineRule="auto"/>
            </w:pPr>
            <w:r>
              <w:rPr>
                <w:sz w:val="18"/>
              </w:rPr>
              <w:t>Ref; inherit</w:t>
            </w:r>
          </w:p>
        </w:tc>
        <w:tc>
          <w:tcPr>
            <w:tcW w:type="dxa" w:w="5400"/>
          </w:tcPr>
          <w:p>
            <w:pPr>
              <w:spacing w:after="60" w:before="40" w:line="240" w:lineRule="auto"/>
            </w:pPr>
            <w:r>
              <w:rPr>
                <w:sz w:val="18"/>
              </w:rPr>
              <w:t>Aggregate/technical/named-person scopes independently filtered before counts/drilldowns.</w:t>
            </w:r>
          </w:p>
        </w:tc>
      </w:tr>
      <w:tr>
        <w:trPr>
          <w:cantSplit/>
        </w:trPr>
        <w:tc>
          <w:tcPr>
            <w:tcW w:type="dxa" w:w="2448"/>
          </w:tcPr>
          <w:p>
            <w:pPr>
              <w:spacing w:after="60" w:before="40" w:line="240" w:lineRule="auto"/>
            </w:pPr>
            <w:r>
              <w:rPr>
                <w:sz w:val="18"/>
              </w:rPr>
              <w:t>exportPolicyRef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Formats, row/field scope, sensitivity and signed receipt; export permission alone grants no missing source access.</w:t>
            </w:r>
          </w:p>
        </w:tc>
      </w:tr>
      <w:tr>
        <w:trPr>
          <w:cantSplit/>
        </w:trPr>
        <w:tc>
          <w:tcPr>
            <w:tcW w:type="dxa" w:w="2448"/>
          </w:tcPr>
          <w:p>
            <w:pPr>
              <w:spacing w:after="60" w:before="40" w:line="240" w:lineRule="auto"/>
            </w:pPr>
            <w:r>
              <w:rPr>
                <w:sz w:val="18"/>
              </w:rPr>
              <w:t>crossTenantEnabled</w:t>
            </w:r>
          </w:p>
        </w:tc>
        <w:tc>
          <w:tcPr>
            <w:tcW w:type="dxa" w:w="2016"/>
          </w:tcPr>
          <w:p>
            <w:pPr>
              <w:spacing w:after="60" w:before="40" w:line="240" w:lineRule="auto"/>
            </w:pPr>
            <w:r>
              <w:rPr>
                <w:sz w:val="18"/>
              </w:rPr>
              <w:t>bool; Off</w:t>
            </w:r>
          </w:p>
        </w:tc>
        <w:tc>
          <w:tcPr>
            <w:tcW w:type="dxa" w:w="5400"/>
          </w:tcPr>
          <w:p>
            <w:pPr>
              <w:spacing w:after="60" w:before="40" w:line="240" w:lineRule="auto"/>
            </w:pPr>
            <w:r>
              <w:rPr>
                <w:sz w:val="18"/>
              </w:rPr>
              <w:t>Explicit opt-in plus per-tenant membership/UAM and aggregation privacy rules.</w:t>
            </w:r>
          </w:p>
        </w:tc>
      </w:tr>
      <w:tr>
        <w:trPr>
          <w:cantSplit/>
        </w:trPr>
        <w:tc>
          <w:tcPr>
            <w:tcW w:type="dxa" w:w="2448"/>
          </w:tcPr>
          <w:p>
            <w:pPr>
              <w:spacing w:after="60" w:before="40" w:line="240" w:lineRule="auto"/>
            </w:pPr>
            <w:r>
              <w:rPr>
                <w:sz w:val="18"/>
              </w:rPr>
              <w:t>freshnessPolicyRef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Source as-of and collection coverage displayed; Off contributors cannot leak last-known content.</w:t>
            </w:r>
          </w:p>
        </w:tc>
      </w:tr>
    </w:tbl>
    <w:p>
      <w:pPr>
        <w:pStyle w:val="Tenant_Heading2"/>
      </w:pPr>
      <w:r>
        <w:t>Lifecycle and integration</w:t>
      </w:r>
    </w:p>
    <w:p>
      <w:r>
        <w:t>When an engine is Off, derived projections must not become an access backdoor. Separately authorised admin audit/offboarding follow established contracts.</w:t>
      </w:r>
    </w:p>
    <w:p>
      <w:pPr>
        <w:pStyle w:val="Tenant_Heading2"/>
      </w:pPr>
      <w:r>
        <w:t>Engine acceptance scenario</w:t>
      </w:r>
    </w:p>
    <w:p>
      <w:r>
        <w:t>ECFG M15 AC: Test repeated/late facts, mixed currencies, incompatible score models, denied-source drilldown and cross-tenant partial results without leakage.</w:t>
      </w:r>
    </w:p>
    <w:p>
      <w:r>
        <w:t>All common TSET/NAV gates apply. Values and references are server-validated in the selected tenant; generic settings edits never replace the owning engine’s publication or approval workflow.</w:t>
      </w:r>
    </w:p>
    <w:p>
      <w:bookmarkStart w:id="47" w:name="orca_ch_047"/>
      <w:pPr>
        <w:pStyle w:val="Heading1"/>
        <w:keepNext/>
        <w:pageBreakBefore w:val="0"/>
      </w:pPr>
      <w:r>
        <w:rPr>
          <w:color w:val="000000"/>
        </w:rPr>
        <w:t>M15 Executive and technical dashboard views</w:t>
      </w:r>
      <w:bookmarkEnd w:id="47"/>
    </w:p>
    <w:p>
      <w:r>
        <w:t>The Reporting engine must provide two separately permissioned views using the same authorised underlying facts. CTO CFO and senior stakeholders receive an executive overview; security analysts cloud engineers identity administrators FinOps and delivery teams receive technical drilldowns. Dashboard access does not confer access to raw identity details billing contracts or security evidence.</w:t>
      </w: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Executive view</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content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Azure landscape</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Authorised tenants subscriptions regions services environments ownership resource counts critical assets assessed versus unassessed scope and freshness.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Financial overview</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Actual and amortised spend selectable forecast budget variance period currency top service drivers commitments and verified savings. Clearly separate candidate savings from approved implemented and financially realised savings.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Security and service health</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Microsoft published score cards by score model severity and risk trends major incidents exposure and control coverage. Show unavailable stale and excluded components.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Optimisation decisions</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Ranked opportunities net savings estimates implementation effort operational impact term renewal dates owner and decisions awaiting approval.</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M365 and DevOps overview</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Purchased assigned unused or review candidate seats privacy appropriate activity summaries organisation capacity and access review progress.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Governance</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Approved change progress unresolved problems audit exceptions business service impact data coverage and remediation ownership.</w:t>
            </w:r>
          </w:p>
        </w:tc>
      </w:tr>
    </w:tbl>
    <w:p>
      <w:pPr>
        <w:keepNext w:val="0"/>
        <w:keepLines w:val="0"/>
        <w:pageBreakBefore w:val="0"/>
        <w:spacing w:before="0" w:after="0" w:line="20" w:lineRule="exact"/>
      </w:pPr>
    </w:p>
    <w:tbl>
      <w:tblPr>
        <w:tblStyle w:val="LightShading-Accent1"/>
        <w:tblW w:type="auto" w:w="0"/>
        <w:tblLayout w:type="fixed"/>
        <w:tblLook w:firstColumn="1" w:firstRow="1" w:lastColumn="0" w:lastRow="0" w:noHBand="0" w:noVBand="1" w:val="04A0"/>
      </w:tblPr>
      <w:tblGrid>
        <w:gridCol w:w="5184"/>
        <w:gridCol w:w="5184"/>
      </w:tblGrid>
      <w:tr>
        <w:trPr>
          <w:tblHeader/>
          <w:cantSplit/>
          <w:tblHeader/>
          <w:cantSplit/>
        </w:trPr>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Technical view</w:t>
            </w:r>
          </w:p>
        </w:tc>
        <w:tc>
          <w:tcPr>
            <w:tcW w:type="dxa" w:w="518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content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Scope filters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subscription management group resource group service owner environment resource product score model control and period; hide invalid scope combinations.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Resource optimisation</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Resource IDs observed utilisation configured capacity costs bottlenecks lookback data completeness recommendations exclusions commitment coverage and simulation evidence.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and licences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Last successful activity workload evidence unknown states SKU service plan assignment source user class exceptions review decision and expected commercial effect.</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Security posture</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Subscription classic Secure Score controls source model percentage impacted resources source timestamp recommendation priority portal links and remediation state.</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Operations</w:t>
            </w:r>
          </w:p>
        </w:tc>
        <w:tc>
          <w:tcPr>
            <w:tcW w:type="dxa" w:w="518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queues source sync lag action unknown outcomes permission denials ingestion failures throttles stale datasets and failed collection jobs.</w:t>
            </w:r>
          </w:p>
        </w:tc>
      </w:tr>
      <w:tr>
        <w:trPr>
          <w:cantSplit/>
          <w:cantSplit/>
        </w:trPr>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Delivery and work</w:t>
            </w:r>
          </w:p>
        </w:tc>
        <w:tc>
          <w:tcPr>
            <w:tcW w:type="dxa" w:w="518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DevOps entitlement and pipeline findings linked assets changes problems approvals evidence and post change verification.</w:t>
            </w:r>
          </w:p>
        </w:tc>
      </w:tr>
    </w:tbl>
    <w:p>
      <w:pPr>
        <w:keepNext w:val="0"/>
        <w:keepLines w:val="0"/>
        <w:pageBreakBefore w:val="0"/>
        <w:spacing w:before="0" w:after="0" w:line="20" w:lineRule="exact"/>
      </w:pPr>
    </w:p>
    <w:p>
      <w:r>
        <w:t>Required interactions: scoped drilldown from executive card to technical evidence only with additional permission; period and timezone controls; saved views; comparison using matching scopes and models; export with the same row field and privacy controls; last source refresh and collection time; explicit partial coverage banner; accessible noncolour states. Executive counts cannot reveal restricted identities through small cohorts. Cost and security data have separate freshness indicators. Missing engines appear unavailable rather than a zero or green status.</w:t>
      </w:r>
    </w:p>
    <w:p>
      <w:r>
        <w:t>Suggested release: enable dashboard shell and source health first; add each data domain as its contributing engine becomes available. No dashboard release must wait for all M17 to M20. Persist dashboard configuration independently from source facts. No internet accessible financial data or broad privileged source token is placed in the browser.</w:t>
      </w:r>
    </w:p>
    <w:p>
      <w:r>
        <w:drawing>
          <wp:inline xmlns:a="http://schemas.openxmlformats.org/drawingml/2006/main" xmlns:pic="http://schemas.openxmlformats.org/drawingml/2006/picture">
            <wp:extent cx="6492240" cy="3954364"/>
            <wp:docPr id="3" name="Picture 2"/>
            <wp:cNvGraphicFramePr>
              <a:graphicFrameLocks noChangeAspect="1"/>
            </wp:cNvGraphicFramePr>
            <a:graphic>
              <a:graphicData uri="http://schemas.openxmlformats.org/drawingml/2006/picture">
                <pic:pic>
                  <pic:nvPicPr>
                    <pic:cNvPr id="0" name="executive.png"/>
                    <pic:cNvPicPr/>
                  </pic:nvPicPr>
                  <pic:blipFill>
                    <a:blip r:embed="rId11"/>
                    <a:stretch>
                      <a:fillRect/>
                    </a:stretch>
                  </pic:blipFill>
                  <pic:spPr>
                    <a:xfrm>
                      <a:off x="0" y="0"/>
                      <a:ext cx="6492240" cy="3954364"/>
                    </a:xfrm>
                    <a:prstGeom prst="rect"/>
                  </pic:spPr>
                </pic:pic>
              </a:graphicData>
            </a:graphic>
          </wp:inline>
        </w:drawing>
      </w:r>
    </w:p>
    <w:p>
      <w:r>
        <w:drawing>
          <wp:inline xmlns:a="http://schemas.openxmlformats.org/drawingml/2006/main" xmlns:pic="http://schemas.openxmlformats.org/drawingml/2006/picture">
            <wp:extent cx="6492240" cy="3954364"/>
            <wp:docPr id="4" name="Picture 3"/>
            <wp:cNvGraphicFramePr>
              <a:graphicFrameLocks noChangeAspect="1"/>
            </wp:cNvGraphicFramePr>
            <a:graphic>
              <a:graphicData uri="http://schemas.openxmlformats.org/drawingml/2006/picture">
                <pic:pic>
                  <pic:nvPicPr>
                    <pic:cNvPr id="0" name="technical.png"/>
                    <pic:cNvPicPr/>
                  </pic:nvPicPr>
                  <pic:blipFill>
                    <a:blip r:embed="rId12"/>
                    <a:stretch>
                      <a:fillRect/>
                    </a:stretch>
                  </pic:blipFill>
                  <pic:spPr>
                    <a:xfrm>
                      <a:off x="0" y="0"/>
                      <a:ext cx="6492240" cy="3954364"/>
                    </a:xfrm>
                    <a:prstGeom prst="rect"/>
                  </pic:spPr>
                </pic:pic>
              </a:graphicData>
            </a:graphic>
          </wp:inline>
        </w:drawing>
      </w:r>
    </w:p>
    <w:p>
      <w:r>
        <w:t>These layouts define information placement and navigation. Display values come only from authorised tenant data; the layouts contain no measured customer results.</w:t>
      </w:r>
    </w:p>
    <w:p>
      <w:r>
        <w:t>Additional permissions: dashboard.executive.read dashboard.technical.read cost.amounts.read cost.contracts.read identity.activity.read licence.user.read posture.read and dashboard.export. Introduce proposed FinOps Analyst Licence Administrator Identity Governance Reviewer DevOps Governance Reviewer and Executive Finance Viewer templates through the UAM matrix. Executive roles receive aggregates by default; privileged actions require separate grants.</w:t>
      </w:r>
    </w:p>
    <w:p>
      <w:r>
        <w:t>Acceptance: an executive sees only approved aggregates; a technical analyst can drill down only within permission scope; all cards disclose period source coverage and freshness; unpublished or missing scores show unavailable; cost and posture comparisons preserve their own units; exports do not expand access.</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M15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Operational dashboards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source freshness queues SLA assignment coverage response status and sync failures.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M15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Attack metrics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incident trends by ATTACK technique tactic asset impact response time and control effectiveness with defined denominators.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M15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Service management</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Report change success emergency use rollback problems known errors recurrence corrective actions and cross record links.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M15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Asset and AI metrics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inventory coverage stale data unresolved identity and AI usage confidence quality budgets.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M15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Authorised exports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Enforce row field sensitivity and tenant restrictions on all charts counts drilldowns and exports.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M15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Module aware reports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Mark absent engines unavailable or not collected; never display a missing dataset as zero incidents or healthy coverage.</w:t>
            </w:r>
          </w:p>
        </w:tc>
      </w:tr>
    </w:tbl>
    <w:p>
      <w:bookmarkStart w:id="48" w:name="orca_ch_048"/>
      <w:pPr>
        <w:pStyle w:val="Heading1"/>
        <w:keepNext/>
        <w:pageBreakBefore/>
      </w:pPr>
      <w:r>
        <w:rPr>
          <w:color w:val="000000"/>
        </w:rPr>
        <w:t>M16 Integration extension and notification engine</w:t>
      </w:r>
      <w:bookmarkEnd w:id="48"/>
    </w:p>
    <w:p>
      <w:r>
        <w:t>Retain broad Microsoft integration scope while adding specialised adapters only where aggregated feeds leave a demonstrated gap.</w:t>
      </w:r>
    </w:p>
    <w:p>
      <w:r>
        <w:t>Dependencies: M01 M02; M04 for incident contribution</w:t>
      </w:r>
    </w:p>
    <w:p>
      <w:pPr>
        <w:pStyle w:val="Heading2"/>
        <w:keepNext/>
      </w:pPr>
      <w:r>
        <w:rPr>
          <w:color w:val="000000"/>
        </w:rPr>
        <w:t>Required outcomes</w:t>
      </w:r>
    </w:p>
    <w:tbl>
      <w:tblPr>
        <w:tblStyle w:val="LightShading-Accent1"/>
        <w:tblW w:type="auto" w:w="0"/>
        <w:tblLayout w:type="fixed"/>
        <w:tblLook w:firstColumn="1" w:firstRow="1" w:lastColumn="0" w:lastRow="0" w:noHBand="0" w:noVBand="1" w:val="04A0"/>
      </w:tblPr>
      <w:tblGrid>
        <w:gridCol w:w="2304"/>
        <w:gridCol w:w="806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8064"/>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What must be delivered</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Capability inventory</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Catalogue Defender for Office Identity Cloud Apps Cloud Entra risk audit Intune Purview Azure telemetry intelligence exposure and delivery surfaces.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Reuse before build</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For every scenario record whether Sentinel or unified Graph already supplies sufficient incidents context and updates.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Gap adapters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Build direct source adapters only for validated missing inventory enrichment response or incident coverage; do not duplicate Sentinel raw telemetry collection.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Common contracts</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Reuse canonical envelope capability manifest mapping health retry and correlation rules across separately releasable adapters.</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Notifications</w:t>
            </w:r>
          </w:p>
        </w:tc>
        <w:tc>
          <w:tcPr>
            <w:tcW w:type="dxa" w:w="8064"/>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Deliver targeted warnings approvals and handover messages with delivery receipts authenticated acknowledgement and escalation.</w:t>
            </w:r>
          </w:p>
        </w:tc>
      </w:tr>
      <w:tr>
        <w:trPr>
          <w:cantSplit/>
          <w:cantSplit/>
        </w:trPr>
        <w:tc>
          <w:tcPr>
            <w:tcW w:type="dxa" w:w="230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Provider health</w:t>
            </w:r>
          </w:p>
        </w:tc>
        <w:tc>
          <w:tcPr>
            <w:tcW w:type="dxa" w:w="8064"/>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license consent cloud unsupported field and rate limitations without false success.</w:t>
            </w:r>
          </w:p>
        </w:tc>
      </w:tr>
    </w:tbl>
    <w:p>
      <w:pPr>
        <w:keepNext w:val="0"/>
        <w:keepLines w:val="0"/>
        <w:pageBreakBefore w:val="0"/>
        <w:spacing w:before="0" w:after="0" w:line="20" w:lineRule="exact"/>
      </w:pPr>
    </w:p>
    <w:p>
      <w:pPr>
        <w:pStyle w:val="Heading2"/>
        <w:keepNext/>
      </w:pPr>
      <w:r>
        <w:rPr>
          <w:color w:val="000000"/>
        </w:rPr>
        <w:t>Required workflow</w:t>
      </w:r>
    </w:p>
    <w:p>
      <w:r>
        <w:t>Scenario inventory -&gt; aggregated feed assessment -&gt; documented gap -&gt; research provider -&gt; adapter validation -&gt; enable only required contribution.</w:t>
      </w:r>
    </w:p>
    <w:p>
      <w:pPr>
        <w:pStyle w:val="Heading2"/>
        <w:keepNext/>
      </w:pPr>
      <w:r>
        <w:rPr>
          <w:color w:val="000000"/>
        </w:rPr>
        <w:t>Acceptance criteria</w:t>
      </w:r>
    </w:p>
    <w:p>
      <w:pPr>
        <w:pStyle w:val="ListBullet"/>
      </w:pPr>
      <w:r>
        <w:t>M16 AC1 Every supported Microsoft product scenario is covered or has an explicit gap and planned release item.</w:t>
      </w:r>
    </w:p>
    <w:p>
      <w:pPr>
        <w:pStyle w:val="ListBullet"/>
      </w:pPr>
      <w:r>
        <w:t>M16 AC2 A direct adapter is not required solely because a product appears in the catalogue.</w:t>
      </w:r>
    </w:p>
    <w:p>
      <w:pPr>
        <w:pStyle w:val="ListBullet"/>
      </w:pPr>
      <w:r>
        <w:t>M16 AC3 One chosen route owns each incident mutation and duplicates are reconciled.</w:t>
      </w:r>
    </w:p>
    <w:p>
      <w:pPr>
        <w:pStyle w:val="ListBullet"/>
      </w:pPr>
      <w:r>
        <w:t>M16 AC4 Failed notification delivery is visible and escalates.</w:t>
      </w:r>
    </w:p>
    <w:p>
      <w:pPr>
        <w:pStyle w:val="Heading2"/>
        <w:keepNext/>
      </w:pPr>
      <w:r>
        <w:rPr>
          <w:color w:val="000000"/>
        </w:rPr>
        <w:t>Suggested data responsibilities</w:t>
      </w:r>
    </w:p>
    <w:p>
      <w:r>
        <w:t>IntegrationScenario CoverageDecision GapRecord ProviderManifest Notification DeliveryAttempt and Acknowledgement.</w:t>
      </w:r>
    </w:p>
    <w:p>
      <w:pPr>
        <w:pStyle w:val="Heading2"/>
        <w:keepNext/>
      </w:pPr>
      <w:r>
        <w:rPr>
          <w:color w:val="000000"/>
        </w:rPr>
        <w:t>Suggested implementation direction</w:t>
      </w:r>
    </w:p>
    <w:p>
      <w:r>
        <w:t>A shared adapter SDK and internal contracts are useful; keep each provider or capability package separately versioned. Common API usage is preferred when sufficient but not assumed universal.</w:t>
      </w:r>
    </w:p>
    <w:p>
      <w:pPr>
        <w:pStyle w:val="Heading2"/>
        <w:keepNext/>
      </w:pPr>
      <w:r>
        <w:rPr>
          <w:color w:val="000000"/>
        </w:rPr>
        <w:t>Research before development</w:t>
      </w:r>
    </w:p>
    <w:p>
      <w:r>
        <w:t>Validate missing operations against current official docs and licensed sandbox before committing endpoint permission and version choices.</w:t>
      </w:r>
    </w:p>
    <w:p>
      <w:pPr>
        <w:pStyle w:val="Heading2"/>
        <w:keepNext/>
      </w:pPr>
      <w:r>
        <w:rPr>
          <w:color w:val="000000"/>
        </w:rPr>
        <w:t>Implementation guidance</w:t>
      </w:r>
    </w:p>
    <w:p>
      <w:r>
        <w:t>The following retained design detail is a starting point for module research. Required outcomes above take precedence. Replace candidate algorithms field layouts and interfaces with a researched design that passes the same acceptance criteria.</w:t>
      </w:r>
    </w:p>
    <w:p>
      <w:r>
        <w:t>Microsoft API findings were researched on 15 October 2026. Prefer documented v1.0 or stable ARM versions. The adapter manifest pins endpoint, cloud, apiVersion, scopes, operations, field mappings, licensing checks, rate budget and contract test results. Beta operations require an explicit exception and are disabled by default. Polling plus reconciliation is the baseline: do not assume Graph incident or alerts_v2 change notification support merely because legacy security alerts support notifications [S07].</w:t>
      </w:r>
    </w:p>
    <w:tbl>
      <w:tblPr>
        <w:tblStyle w:val="LightShading-Accent1"/>
        <w:tblW w:type="auto" w:w="0"/>
        <w:tblLayout w:type="fixed"/>
        <w:tblLook w:firstColumn="1" w:firstRow="1" w:lastColumn="0" w:lastRow="0" w:noHBand="0" w:noVBand="1" w:val="04A0"/>
      </w:tblPr>
      <w:tblGrid>
        <w:gridCol w:w="2592"/>
        <w:gridCol w:w="2592"/>
        <w:gridCol w:w="2592"/>
        <w:gridCol w:w="2592"/>
      </w:tblGrid>
      <w:tr>
        <w:trPr>
          <w:tblHeader/>
          <w:cantSplit/>
          <w:tblHeader/>
          <w:cantSplit/>
        </w:trPr>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Family</w:t>
            </w:r>
          </w:p>
        </w:tc>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API surface</w:t>
            </w:r>
          </w:p>
        </w:tc>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Permission baseline</w:t>
            </w:r>
          </w:p>
        </w:tc>
        <w:tc>
          <w:tcPr>
            <w:tcW w:type="dxa" w:w="259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Capability boundary</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XDR</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Graph /v1.0/security/incidents and /security/alerts_v2</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SecurityIncident.Read.All; write SecurityIncident.ReadWrite.All; alerts SecurityAlert.Read.All</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Incidents read update; comments create; Graph does not provide generic incident creation [S01 S02]</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Microsoft Sentinel</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ARM Microsoft.SecurityInsights incidents and comments; stable 2025-09-01</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Workspace scoped Sentinel Reader or custom read role; write Responder or narrower custom role</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Create update close comment and reconcile; preserve etag; verify unified portal configuration [S03 S04]</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for Endpoint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XDR alerts plus native machines actions and inventories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Machine.Read.All for inventory; Machine.Isolate for isolation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Device isolation returns machine action; poll completion; per action API permission [S08]</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Defender for Office 365</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XDR incidents alerts and supported hunting datasets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XDR read and hunting consent; mail action consent separate</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Email evidence through supported XDR surfaces; no invented universal email purge endpoint</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for Identity</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XDR incidents alerts and hunting identity tables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XDR alert and hunting permissions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Ingest identity detections; identity remediation through separately authorised Entra or customer runner</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Defender for Cloud Apps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XDR plus tenant native activities alerts REST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Product scoped API token or documented Entra method for chosen endpoint</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Read activities and alerts; product specific writes only when verified [S09]</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for Cloud</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ARM Microsoft.Security alerts and posture resources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Subscription scoped Security Reader; operation specific write RBAC</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Cloud alerts and posture; status operations only where product API supports [S10]</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Microsoft Entra ID Protection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Graph identityProtection/riskDetections and riskyUsers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IdentityRiskEvent.Read.All; IdentityRiskyUser.Read.All</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Risk context; risk dismissal or confirmation separately permissioned and approved [S11]</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Microsoft Entra sign in and audit</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Graph auditLogs/signIns and directoryAudits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AuditLog.Read.All plus documented licensing</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 only enrichment and identity timeline; no editing of audit history</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Microsoft Intune</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Graph deviceManagement managedDevices and compliance</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DeviceManagementManagedDevices.Read.All; action specific permission for write</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Inventory compliance and approved device operations; wipe permanently high risk [S13]</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Microsoft Purview audit and DLP</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Office 365 Management Activity feed; supported Graph security and audit APIs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ActivityFeed.Read and ActivityFeed.ReadDlp where required</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 audit and DLP records; unified audit must be enabled; eDiscovery and insider risk remain separately restricted [S12]</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Azure platform security telemetry</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Activity Log Log Analytics Azure Monitor and Event Hubs</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Resource scoped Reader or Log Analytics read; separate ingestion identity</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Read security relevant platform events and diagnostic feeds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Microsoft threat intelligence and exposure</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Supported Graph security threat intelligence and exposure surfaces</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Endpoint specific licensed read permission</w:t>
            </w:r>
          </w:p>
        </w:tc>
        <w:tc>
          <w:tcPr>
            <w:tcW w:type="dxa" w:w="25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Enrichment and recommendations; do not equate exposure recommendations with incidents</w:t>
            </w:r>
          </w:p>
        </w:tc>
      </w:tr>
      <w:tr>
        <w:trPr>
          <w:cantSplit/>
          <w:cantSplit/>
        </w:trPr>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Teams and notification delivery</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Approved bot or supported Graph delivery integration</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consent specific to chosen delivery mechanism</w:t>
            </w:r>
          </w:p>
        </w:tc>
        <w:tc>
          <w:tcPr>
            <w:tcW w:type="dxa" w:w="25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Primary backup warning acknowledgement and escalation; no broad channel messaging grant by default</w:t>
            </w:r>
          </w:p>
        </w:tc>
      </w:tr>
    </w:tbl>
    <w:p>
      <w:pPr>
        <w:keepNext w:val="0"/>
        <w:keepLines w:val="0"/>
        <w:pageBreakBefore w:val="0"/>
        <w:spacing w:before="0" w:after="0" w:line="20" w:lineRule="exact"/>
      </w:pPr>
    </w:p>
    <w:p>
      <w:r>
        <w:t>Connector interface: DiscoverCapabilities, ValidateConfiguration, ReadSnapshot, ReadChanges, ReadById, ApplyIncidentPatch, AppendComment, ExecuteResponse, GetResponseStatus and Reconcile. Each returns capability revision, source request ID, rate metadata and structured error. Never implement unsupported methods as no-op success. Store secrets only by Key Vault reference; no tokens in MongoDB documents, logs or browser responses.</w:t>
      </w:r>
    </w:p>
    <w:p>
      <w:pPr>
        <w:pStyle w:val="Heading2"/>
        <w:keepNext/>
      </w:pPr>
      <w:r>
        <w:rPr>
          <w:color w:val="000000"/>
        </w:rPr>
        <w:t>M16 Notification and specialist adapter design</w:t>
      </w:r>
    </w:p>
    <w:p>
      <w:r>
        <w:t>M16 V5 1 Deliver a notification foundation slice for Teams in the first business release: bot registration consent installation conversation binding per-tenant templates receipts and authenticated acknowledgement. Store receipts operator-side. A delivered message is not an accepted assignment or an approval.</w:t>
      </w:r>
    </w:p>
    <w:p>
      <w:r>
        <w:t>M16 V5 2 Later source-gap adapters reuse the connector kit and prove the scenario is absent from Sentinel or common Graph first. Purview continuous feeds and asynchronous investigation are different paths. The capability register records source model permission licensing cloud limitation and date; no universal Microsoft API is promised.</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936"/>
        <w:gridCol w:w="2160"/>
        <w:gridCol w:w="7272"/>
      </w:tblGrid>
      <w:tr>
        <w:trPr>
          <w:tblHeader/>
          <w:cantSplit/>
          <w:tblHeader/>
          <w:cantSplit/>
        </w:trPr>
        <w:tc>
          <w:tcPr>
            <w:tcW w:type="dxa" w:w="93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Deliverable</w:t>
            </w:r>
          </w:p>
        </w:tc>
        <w:tc>
          <w:tcPr>
            <w:tcW w:type="dxa" w:w="7272"/>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scope</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M16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Capability inventory</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Catalogue Defender for Office Identity Cloud Apps Cloud Entra risk audit Intune Purview Azure telemetry intelligence exposure and delivery surfaces.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M16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Reuse before build</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For every scenario record whether Sentinel or unified Graph already supplies sufficient incidents context and updates.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M16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Gap adapters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Build direct source adapters only for validated missing inventory enrichment response or incident coverage; do not duplicate Sentinel raw telemetry collection.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M16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Common contracts</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Reuse canonical envelope capability manifest mapping health retry and correlation rules across separately releasable adapters.</w:t>
            </w:r>
          </w:p>
        </w:tc>
      </w:tr>
      <w:tr>
        <w:trPr>
          <w:cantSplit/>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M16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Notifications</w:t>
            </w:r>
          </w:p>
        </w:tc>
        <w:tc>
          <w:tcPr>
            <w:tcW w:type="dxa" w:w="72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Deliver targeted warnings approvals and handover messages with delivery receipts authenticated acknowledgement and escalation.</w:t>
            </w:r>
          </w:p>
        </w:tc>
      </w:tr>
      <w:tr>
        <w:trPr>
          <w:cantSplit/>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M16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Provider health</w:t>
            </w:r>
          </w:p>
        </w:tc>
        <w:tc>
          <w:tcPr>
            <w:tcW w:type="dxa" w:w="72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license consent cloud unsupported field and rate limitations without false success.</w:t>
            </w:r>
          </w:p>
        </w:tc>
      </w:tr>
    </w:tbl>
    <w:p>
      <w:bookmarkStart w:id="49" w:name="orca_ch_049"/>
      <w:pPr>
        <w:pStyle w:val="Tenant_Heading1"/>
      </w:pPr>
      <w:r>
        <w:t>M16 Integration extensions and notifications settings</w:t>
      </w:r>
      <w:bookmarkEnd w:id="49"/>
    </w:p>
    <w:p>
      <w:r>
        <w:t>ECFG M16 | Required dependencies: M01 M02; M04 for incident contribution.</w:t>
      </w:r>
    </w:p>
    <w:p>
      <w:r>
        <w:t>Permission boundary: integration.read/configure, notification.send/read/acknowledge.</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adapterProfileRefs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Approved gap adapters only; no duplicate authoritative ingress route.</w:t>
            </w:r>
          </w:p>
        </w:tc>
      </w:tr>
      <w:tr>
        <w:trPr>
          <w:cantSplit/>
        </w:trPr>
        <w:tc>
          <w:tcPr>
            <w:tcW w:type="dxa" w:w="2448"/>
          </w:tcPr>
          <w:p>
            <w:pPr>
              <w:spacing w:after="60" w:before="40" w:line="240" w:lineRule="auto"/>
            </w:pPr>
            <w:r>
              <w:rPr>
                <w:sz w:val="18"/>
              </w:rPr>
              <w:t>connectionRefs</w:t>
            </w:r>
          </w:p>
        </w:tc>
        <w:tc>
          <w:tcPr>
            <w:tcW w:type="dxa" w:w="2016"/>
          </w:tcPr>
          <w:p>
            <w:pPr>
              <w:spacing w:after="60" w:before="40" w:line="240" w:lineRule="auto"/>
            </w:pPr>
            <w:r>
              <w:rPr>
                <w:sz w:val="18"/>
              </w:rPr>
              <w:t>Ref[]; unset when adapter enabled</w:t>
            </w:r>
          </w:p>
        </w:tc>
        <w:tc>
          <w:tcPr>
            <w:tcW w:type="dxa" w:w="5400"/>
          </w:tcPr>
          <w:p>
            <w:pPr>
              <w:spacing w:after="60" w:before="40" w:line="240" w:lineRule="auto"/>
            </w:pPr>
            <w:r>
              <w:rPr>
                <w:sz w:val="18"/>
              </w:rPr>
              <w:t>Tenant-bound endpoint/identity/consent; secrets in Key Vault.</w:t>
            </w:r>
          </w:p>
        </w:tc>
      </w:tr>
      <w:tr>
        <w:trPr>
          <w:cantSplit/>
        </w:trPr>
        <w:tc>
          <w:tcPr>
            <w:tcW w:type="dxa" w:w="2448"/>
          </w:tcPr>
          <w:p>
            <w:pPr>
              <w:spacing w:after="60" w:before="40" w:line="240" w:lineRule="auto"/>
            </w:pPr>
            <w:r>
              <w:rPr>
                <w:sz w:val="18"/>
              </w:rPr>
              <w:t>deliveryChannels</w:t>
            </w:r>
          </w:p>
        </w:tc>
        <w:tc>
          <w:tcPr>
            <w:tcW w:type="dxa" w:w="2016"/>
          </w:tcPr>
          <w:p>
            <w:pPr>
              <w:spacing w:after="60" w:before="40" w:line="240" w:lineRule="auto"/>
            </w:pPr>
            <w:r>
              <w:rPr>
                <w:sz w:val="18"/>
              </w:rPr>
              <w:t>enum[]; empty</w:t>
            </w:r>
          </w:p>
        </w:tc>
        <w:tc>
          <w:tcPr>
            <w:tcW w:type="dxa" w:w="5400"/>
          </w:tcPr>
          <w:p>
            <w:pPr>
              <w:spacing w:after="60" w:before="40" w:line="240" w:lineRule="auto"/>
            </w:pPr>
            <w:r>
              <w:rPr>
                <w:sz w:val="18"/>
              </w:rPr>
              <w:t>In-app/Teams or approved later adapter; channel installation/consent required.</w:t>
            </w:r>
          </w:p>
        </w:tc>
      </w:tr>
      <w:tr>
        <w:trPr>
          <w:cantSplit/>
        </w:trPr>
        <w:tc>
          <w:tcPr>
            <w:tcW w:type="dxa" w:w="2448"/>
          </w:tcPr>
          <w:p>
            <w:pPr>
              <w:spacing w:after="60" w:before="40" w:line="240" w:lineRule="auto"/>
            </w:pPr>
            <w:r>
              <w:rPr>
                <w:sz w:val="18"/>
              </w:rPr>
              <w:t>templateRefs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Versioned safe templates with audience/sensitivity and no unescaped untrusted HTML.</w:t>
            </w:r>
          </w:p>
        </w:tc>
      </w:tr>
      <w:tr>
        <w:trPr>
          <w:cantSplit/>
        </w:trPr>
        <w:tc>
          <w:tcPr>
            <w:tcW w:type="dxa" w:w="2448"/>
          </w:tcPr>
          <w:p>
            <w:pPr>
              <w:spacing w:after="60" w:before="40" w:line="240" w:lineRule="auto"/>
            </w:pPr>
            <w:r>
              <w:rPr>
                <w:sz w:val="18"/>
              </w:rPr>
              <w:t>recipientPolicyRef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Current eligible scoped recipients; delivering a message never grants underlying record access.</w:t>
            </w:r>
          </w:p>
        </w:tc>
      </w:tr>
      <w:tr>
        <w:trPr>
          <w:cantSplit/>
        </w:trPr>
        <w:tc>
          <w:tcPr>
            <w:tcW w:type="dxa" w:w="2448"/>
          </w:tcPr>
          <w:p>
            <w:pPr>
              <w:spacing w:after="60" w:before="40" w:line="240" w:lineRule="auto"/>
            </w:pPr>
            <w:r>
              <w:rPr>
                <w:sz w:val="18"/>
              </w:rPr>
              <w:t>acknowledgementPolicyRef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Authenticated acknowledgement receipt; rendering a bell item is not acknowledgement.</w:t>
            </w:r>
          </w:p>
        </w:tc>
      </w:tr>
      <w:tr>
        <w:trPr>
          <w:cantSplit/>
        </w:trPr>
        <w:tc>
          <w:tcPr>
            <w:tcW w:type="dxa" w:w="2448"/>
          </w:tcPr>
          <w:p>
            <w:pPr>
              <w:spacing w:after="60" w:before="40" w:line="240" w:lineRule="auto"/>
            </w:pPr>
            <w:r>
              <w:rPr>
                <w:sz w:val="18"/>
              </w:rPr>
              <w:t>retryEscalationPolicyRef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Bounded delivery retries, primary/backup escalation and idempotency receipts.</w:t>
            </w:r>
          </w:p>
        </w:tc>
      </w:tr>
    </w:tbl>
    <w:p>
      <w:pPr>
        <w:pStyle w:val="Tenant_Heading2"/>
      </w:pPr>
      <w:r>
        <w:t>Lifecycle and integration</w:t>
      </w:r>
    </w:p>
    <w:p>
      <w:r>
        <w:t>Disable optional channels independently. Off stops new sends/retries, preserving receipts and pending escalation facts for explicit recovery.</w:t>
      </w:r>
    </w:p>
    <w:p>
      <w:pPr>
        <w:pStyle w:val="Tenant_Heading2"/>
      </w:pPr>
      <w:r>
        <w:t>Engine acceptance scenario</w:t>
      </w:r>
    </w:p>
    <w:p>
      <w:r>
        <w:t>ECFG M16 AC: Test missing Teams installation, revoked recipient access, duplicate delivery receipt, unauthenticated acknowledgement and source adapter conflict.</w:t>
      </w:r>
    </w:p>
    <w:p>
      <w:r>
        <w:t>All common TSET/NAV gates apply. Values and references are server-validated in the selected tenant; generic settings edits never replace the owning engine’s publication or approval workflow.</w:t>
      </w:r>
    </w:p>
    <w:p>
      <w:bookmarkStart w:id="50" w:name="orca_ch_050"/>
      <w:pPr>
        <w:pStyle w:val="Heading1"/>
        <w:keepNext/>
        <w:pageBreakBefore/>
      </w:pPr>
      <w:r>
        <w:rPr>
          <w:color w:val="000000"/>
        </w:rPr>
        <w:t>M17 Azure cost and resource optimisation engine</w:t>
      </w:r>
      <w:bookmarkEnd w:id="50"/>
    </w:p>
    <w:p>
      <w:r>
        <w:t>Identify subscription cost drivers underused resources excess capacity and suitable commitments, then govern measured optimisation.</w:t>
      </w:r>
    </w:p>
    <w:p>
      <w:r>
        <w:t>Required dependencies: M01 M02; M07 enriches context; no Sentinel requirement</w:t>
      </w:r>
    </w:p>
    <w:p>
      <w:pPr>
        <w:pStyle w:val="Heading2"/>
        <w:keepNext/>
      </w:pPr>
      <w:r>
        <w:rPr>
          <w:color w:val="000000"/>
        </w:rPr>
        <w:t>Required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Spend baseline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Ingest authorised actual and amortised cost forecast usage resource tags budgets and billing scopes. Show daily monthly and trend views by subscription resource group service region resource owner and cost centre.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Recommendation catalogue</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Ingest all available Azure Advisor cost recommendations and retain source ID status explanation impact estimated savings last refreshed date and portal reference. Add documented analytical candidates only where source recommendations leave a gap.</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Overdeployment and rightsizing</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Compare provisioned capacity and utilisation across compute App Service databases storage containers and other supported services. Flag excessive SKU instance count idle capacity and nonproduction schedule opportunities with workload evidence.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Idle and orphaned resources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stopped but allocated VMs detached disks old snapshots unused addresses gateways obsolete test resources and other residual spend; preserve dependency DR retention and owner review.</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Reservations and savings plans</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 eligible stable demand existing benefits commitment coverage utilisation expiry term scope payment option projected savings and underutilisation risk. Compare resize or shutdown before committing.</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Service specific levers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Assess storage tiers lifecycle redundancy database compute and throughput log ingestion retention commitments network transfer security service tiers Azure Hybrid Benefit eligibility and AI capacity where evidence and commercial rights exist.</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Savings portfolio</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Group overlapping or mutually exclusive options model ordered scenarios and expose estimated approved implemented and financially verified savings separately.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Governed execution</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Assign owner collect evidence simulate impact request Change approval and verify post change health and savings. The initial module is read only; destructive changes purchases or commitments require independently approved execution capabilities.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09</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Subscription dashboard</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spend forecast variance top resources top savings opportunities budgets coverage gaps and commitment utilisation for each permitted subscription and a clearly scoped tenant overview.</w:t>
            </w:r>
          </w:p>
        </w:tc>
      </w:tr>
    </w:tbl>
    <w:p>
      <w:pPr>
        <w:keepNext w:val="0"/>
        <w:keepLines w:val="0"/>
        <w:pageBreakBefore w:val="0"/>
        <w:spacing w:before="0" w:after="0" w:line="20" w:lineRule="exact"/>
      </w:pPr>
    </w:p>
    <w:p>
      <w:pPr>
        <w:pStyle w:val="Heading2"/>
        <w:keepNext/>
      </w:pPr>
      <w:r>
        <w:rPr>
          <w:color w:val="000000"/>
        </w:rPr>
        <w:t>Acceptance criteria</w:t>
      </w:r>
    </w:p>
    <w:p>
      <w:pPr>
        <w:pStyle w:val="ListBullet"/>
      </w:pPr>
      <w:r>
        <w:t>M17 AC1 No cost estimate treats low CPU alone as proof that a resource is unnecessary.</w:t>
      </w:r>
    </w:p>
    <w:p>
      <w:pPr>
        <w:pStyle w:val="ListBullet"/>
      </w:pPr>
      <w:r>
        <w:t>M17 AC2 Overlapping resize shutdown and commitment options are not added as independent savings.</w:t>
      </w:r>
    </w:p>
    <w:p>
      <w:pPr>
        <w:pStyle w:val="ListBullet"/>
      </w:pPr>
      <w:r>
        <w:t>M17 AC3 Every recommendation includes source scope lookback uncertainty prerequisites owner and last observation.</w:t>
      </w:r>
    </w:p>
    <w:p>
      <w:pPr>
        <w:pStyle w:val="ListBullet"/>
      </w:pPr>
      <w:r>
        <w:t>M17 AC4 No reservation purchase licence change shutdown or deletion is performed merely by generating a recommendation.</w:t>
      </w:r>
    </w:p>
    <w:p>
      <w:pPr>
        <w:pStyle w:val="ListBullet"/>
      </w:pPr>
      <w:r>
        <w:t>M17 AC5 Tenant totals identify excluded scopes currency basis billing adjustments and data delay.</w:t>
      </w:r>
    </w:p>
    <w:p>
      <w:pPr>
        <w:pStyle w:val="Heading2"/>
        <w:keepNext/>
      </w:pPr>
      <w:r>
        <w:rPr>
          <w:color w:val="000000"/>
        </w:rPr>
        <w:t>Research and release boundary</w:t>
      </w:r>
    </w:p>
    <w:p>
      <w:r>
        <w:t>Deliver read only collection findings evidence and authorised dashboards first. Select current supported APIs scopes retention and licences during development. Refine thresholds and algorithms through tenant dataset tests. Mandatory tenant isolation UAM matrix audit privacy and approval outcomes are unchanged. The engine can release without the other new engines; optional links are inactive until their dependency is available.</w:t>
      </w:r>
    </w:p>
    <w:p>
      <w:pPr>
        <w:pStyle w:val="Heading2"/>
        <w:keepNext/>
      </w:pPr>
      <w:r>
        <w:rPr>
          <w:color w:val="000000"/>
        </w:rPr>
        <w:t>Azure opportunity catalogue and evidence</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Opportunity family</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Investigate and recommend</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Evidence needed before action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Compute and scale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VM or VMSS resize scale in off hours shutdown correct deallocation Spot for eligible interruption tolerant jobs and autoscale tuning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CPU memory when available disk and network peaks business cycle batch schedules owner SLO DR and capacity constraints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 Service and containers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Plan SKU and instance optimisation safe consolidation idle slots replicas node pools autoscaler and supported AKS workload cost allocation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Plan shared dependencies requests limits traffic peak load availability zone requirements and service constraints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Data platforms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Database tier vCore DTU pool serverless auto pause eligible workload throughput and storage optimisation including Cosmos DB and SQL resources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Latency concurrency IO query demand capacity minima licensing maintenance and restore obligations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Storage and retained data</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Unattached disks snapshots tiers lifecycle duplicate retained backups version growth and redundant retention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Recovery plans legal hold rehydration egress transaction cost storage minimum duration and deletion risk</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Network</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Idle gateways addresses circuits load balancers transfer paths cross region egress and traffic routing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Dependencies connectivity security boundaries measured traffic contractual availability and exit charges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Observability and security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Log table ingestion retention archive workspace commitment sizing duplicate telemetry and duplicated paid service plans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Detection and compliance needs record volume retention constraints query cost and threat coverage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 and specialist platforms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Unused deployments capacity throughput vs consumption cache or database tier and supported service reservations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Workload throughput service pricing model commitments licence portability and performance evidence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Commercial benefits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Reservations savings plans existing commitment utilisation eligible Hybrid Benefit and negotiated rates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Eligibility legal entitlements term scope renewal cancellation rules stable residual demand and actual rate evidence</w:t>
            </w:r>
          </w:p>
        </w:tc>
      </w:tr>
    </w:tbl>
    <w:p>
      <w:pPr>
        <w:keepNext w:val="0"/>
        <w:keepLines w:val="0"/>
        <w:pageBreakBefore w:val="0"/>
        <w:spacing w:before="0" w:after="0" w:line="20" w:lineRule="exact"/>
      </w:pPr>
    </w:p>
    <w:p>
      <w:r>
        <w:t>The catalogue is an analytical coverage target, not a claim that Microsoft Advisor has an automatic recommendation for every resource type. Native Advisor items must be ingested comprehensively for the accessible subscriptions; additional candidates must identify their own evidence and rule version. Unsupported metrics or a short observation window downgrade confidence and can produce a request for evidence instead of a resize instruction. Suggested lookbacks must capture business peaks and seasonality; no single fixed threshold is mandated.</w:t>
      </w:r>
    </w:p>
    <w:p>
      <w:pPr>
        <w:pStyle w:val="Heading2"/>
        <w:keepNext/>
      </w:pPr>
      <w:r>
        <w:rPr>
          <w:color w:val="000000"/>
        </w:rPr>
        <w:t>Commitment and savings assessment</w:t>
      </w:r>
    </w:p>
    <w:p>
      <w:r>
        <w:t>Microsoft provides reservation and savings plan recommendations through relevant billing and benefit surfaces [S35]. Reuse these where accessible. Record recommendation term benefit scope eligible meter family quantity hourly commitment existing coverage expected utilisation purchase date and expiry. Review shutdown rightsizing and consolidation first; then reassess residual stable demand before purchasing a long term benefit. Compare pay as you go resize only reservation only savings plan only and a researched eligible combination. Do not reserve uncertain seasonal or decommissioning capacity purely because historical usage is high.</w:t>
      </w:r>
    </w:p>
    <w:p>
      <w:r>
        <w:t>Savings calculation suggestions: group options by the same billable resource or eligible usage pool; model mutually exclusive scenarios; calculate each action against the remaining usage after preceding actions. Preserve native estimates alongside application estimates because retail and contracted rates may differ [S34]. Record cost basis source discounts amortisation taxes credits currency pricing date and analysis interval. A scenario totals only compatible options. Reservation and savings plan refresh delay and purchase overlap require a refreshed source recommendation before the next commitment decision [S35].</w:t>
      </w:r>
    </w:p>
    <w:p>
      <w:r>
        <w:t>Distinguish operational efficiency from cash reduction: a shutdown can free committed capacity without reducing the existing bill. Show commitment waste reduced cash savings deferred to renewal and capacity avoided as separate outcomes. Net estimate equals baseline eligible cost minus scenario cost minus known transition recurring operational and commitment waste costs; unknown cost terms make the estimate incomplete. Convert currencies only using an approved dated rate and preserve original amounts. Aggregate each billing record once; shared benefits allocated across subscriptions are not new spend.</w:t>
      </w:r>
    </w:p>
    <w:p>
      <w:r>
        <w:t>Recommendation lifecycle: New -&gt; EvidenceReview -&gt; OwnerReview -&gt; Approved or Rejected or Deferred -&gt; ChangeScheduled -&gt; Implemented -&gt; TechnicalVerified -&gt; FinancialVerified -&gt; Closed; expired recommendations require reanalysis. Acceptance or dismissal of a recommendation does not mutate Microsoft billing configuration. Actual changes use M13 approved change and separately authorised M12 or provider action, if available; otherwise record an externally executed change with evidence. Removing redundancy backup logging or security protection solely to improve cost is not an approved default.</w:t>
      </w:r>
    </w:p>
    <w:p>
      <w:pPr>
        <w:pStyle w:val="Heading2"/>
        <w:keepNext/>
      </w:pPr>
      <w:r>
        <w:rPr>
          <w:color w:val="000000"/>
        </w:rPr>
        <w:t>Suggested contracts and data</w:t>
      </w:r>
    </w:p>
    <w:p>
      <w:r>
        <w:t>Candidate owned records: CostScope BillingSnapshot UsageSlice ForecastSnapshot ResourceMetricSummary CommitmentInventory BenefitRecommendation CostOpportunity OpportunityScenario SavingsAllocation PricingAssumption Exclusion OwnerReview and RealisationMeasurement. CostSnapshot stores scope provider period costBasis currency dataAsOf collectedAt billable lineage and completeness. Opportunity stores resource or usage pool nativeId ruleVersion action evidence baseline estimate uncertainty conflictGroup owner risk impact prerequisites and source link. Never store customer negotiated price data in a shared catalogue.</w:t>
      </w:r>
    </w:p>
    <w:p>
      <w:r>
        <w:t>Internal contracts: QueryCostLandscape GetResourceOpportunities CompareSavingsScenarios RegisterOpportunityDecision and VerifyRealisedSavings. Candidate external interface only if needed: GET /tenants/{t}/cost/opportunities?subscriptionId=... and POST /tenants/{t}/cost/scenarios. No public purchase endpoint is required by this scope. Source options are Azure Cost Management query forecast exports Advisor recommendations Resource Graph Monitor metrics and billing benefit APIs. Microsoft Graph alone cannot supply these Azure billing interfaces [S32 S33 S35].</w:t>
      </w:r>
    </w:p>
    <w:p>
      <w:r>
        <w:t>Permission research: resource inventory access does not imply cost visibility or billing scope commitment access. Use least privilege Cost Management or billing read access at the approved scope plus Advisor and metrics reads where needed. Purchases and resource write roles are separate and not required for initial read only release. Classify finance data separately in the matrix. Current endpoint versions agreement support query limits exports and billing scope access must be proven against the customer agreement during development.</w:t>
      </w:r>
    </w:p>
    <w:p>
      <w:pPr>
        <w:pStyle w:val="Heading2"/>
        <w:keepNext/>
      </w:pPr>
      <w:r>
        <w:rPr>
          <w:color w:val="000000"/>
        </w:rPr>
        <w:t>M17 Cost optimisation under the revised trust model</w:t>
      </w:r>
    </w:p>
    <w:p>
      <w:r>
        <w:t>M17 V5 1 Cost collectors need their own authorised billing and subscription scopes; Sentinel incident access is not a prerequisite or sufficient permission. Store source costs and opportunities customer-side, confidential review audit and execution authority operator-side. Initial collection is Read-only consent and cannot purchase commitments or change resources.</w:t>
      </w:r>
    </w:p>
    <w:p>
      <w:r>
        <w:t>M17 V5 2 The first release still covers rightsizing excess deployment idle resources reservation and savings-plan suitability and all accessible native cost recommendations. Savings compatibility customer rates seasonality dependency evidence and verification remain required; the older feasibility estimate does not cover this engine.</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Spend baseline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Ingest authorised actual and amortised cost forecast usage resource tags budgets and billing scopes. Show daily monthly and trend views by subscription resource group service region resource owner and cost centre.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Recommendation catalogue</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Ingest all available Azure Advisor cost recommendations and retain source ID status explanation impact estimated savings last refreshed date and portal reference. Add documented analytical candidates only where source recommendations leave a gap.</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Overdeployment and rightsizing</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Compare provisioned capacity and utilisation across compute App Service databases storage containers and other supported services. Flag excessive SKU instance count idle capacity and nonproduction schedule opportunities with workload evidence.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Idle and orphaned resources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stopped but allocated VMs detached disks old snapshots unused addresses gateways obsolete test resources and other residual spend; preserve dependency DR retention and owner review.</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Reservations and savings plans</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Assess eligible stable demand existing benefits commitment coverage utilisation expiry term scope payment option projected savings and underutilisation risk. Compare resize or shutdown before committing.</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Service specific levers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Assess storage tiers lifecycle redundancy database compute and throughput log ingestion retention commitments network transfer security service tiers Azure Hybrid Benefit eligibility and AI capacity where evidence and commercial rights exist.</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Savings portfolio</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Group overlapping or mutually exclusive options model ordered scenarios and expose estimated approved implemented and financially verified savings separately.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M17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Governed execution</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Assign owner collect evidence simulate impact request Change approval and verify post change health and savings. The initial module is read only; destructive changes purchases or commitments require independently approved execution capabilities.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M17 09</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Subscription dashboard</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spend forecast variance top resources top savings opportunities budgets coverage gaps and commitment utilisation for each permitted subscription and a clearly scoped tenant overview.</w:t>
            </w:r>
          </w:p>
        </w:tc>
      </w:tr>
    </w:tbl>
    <w:p>
      <w:bookmarkStart w:id="51" w:name="orca_ch_051"/>
      <w:pPr>
        <w:pStyle w:val="Tenant_Heading1"/>
      </w:pPr>
      <w:r>
        <w:t>M17 Azure cost and resource optimisation settings</w:t>
      </w:r>
      <w:bookmarkEnd w:id="51"/>
    </w:p>
    <w:p>
      <w:r>
        <w:t>ECFG M17 | Required dependencies: M01 M02; M07 optional enrichment.</w:t>
      </w:r>
    </w:p>
    <w:p>
      <w:r>
        <w:t>Permission boundary: cost.read/amounts.read/contracts.read/scenario.manage; commitment.read/purchase.request. Settings use admitted manage grant.</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subscriptionScopes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Explicit approved subscriptions/billing scopes; validate actual source consent and tenant binding.</w:t>
            </w:r>
          </w:p>
        </w:tc>
      </w:tr>
      <w:tr>
        <w:trPr>
          <w:cantSplit/>
        </w:trPr>
        <w:tc>
          <w:tcPr>
            <w:tcW w:type="dxa" w:w="2448"/>
          </w:tcPr>
          <w:p>
            <w:pPr>
              <w:spacing w:after="60" w:before="40" w:line="240" w:lineRule="auto"/>
            </w:pPr>
            <w:r>
              <w:rPr>
                <w:sz w:val="18"/>
              </w:rPr>
              <w:t>billingProfileRef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Currency, rate/effective date and agreement provenance; contracts are more restricted than aggregate cost.</w:t>
            </w:r>
          </w:p>
        </w:tc>
      </w:tr>
      <w:tr>
        <w:trPr>
          <w:cantSplit/>
        </w:trPr>
        <w:tc>
          <w:tcPr>
            <w:tcW w:type="dxa" w:w="2448"/>
          </w:tcPr>
          <w:p>
            <w:pPr>
              <w:spacing w:after="60" w:before="40" w:line="240" w:lineRule="auto"/>
            </w:pPr>
            <w:r>
              <w:rPr>
                <w:sz w:val="18"/>
              </w:rPr>
              <w:t>utilisationSourceRefs</w:t>
            </w:r>
          </w:p>
        </w:tc>
        <w:tc>
          <w:tcPr>
            <w:tcW w:type="dxa" w:w="2016"/>
          </w:tcPr>
          <w:p>
            <w:pPr>
              <w:spacing w:after="60" w:before="40" w:line="240" w:lineRule="auto"/>
            </w:pPr>
            <w:r>
              <w:rPr>
                <w:sz w:val="18"/>
              </w:rPr>
              <w:t>Ref[]; unset for rightsizing</w:t>
            </w:r>
          </w:p>
        </w:tc>
        <w:tc>
          <w:tcPr>
            <w:tcW w:type="dxa" w:w="5400"/>
          </w:tcPr>
          <w:p>
            <w:pPr>
              <w:spacing w:after="60" w:before="40" w:line="240" w:lineRule="auto"/>
            </w:pPr>
            <w:r>
              <w:rPr>
                <w:sz w:val="18"/>
              </w:rPr>
              <w:t>Approved metrics/windows and freshness; missing utilisation cannot prove an idle resource.</w:t>
            </w:r>
          </w:p>
        </w:tc>
      </w:tr>
      <w:tr>
        <w:trPr>
          <w:cantSplit/>
        </w:trPr>
        <w:tc>
          <w:tcPr>
            <w:tcW w:type="dxa" w:w="2448"/>
          </w:tcPr>
          <w:p>
            <w:pPr>
              <w:spacing w:after="60" w:before="40" w:line="240" w:lineRule="auto"/>
            </w:pPr>
            <w:r>
              <w:rPr>
                <w:sz w:val="18"/>
              </w:rPr>
              <w:t>optimisationPolicyRef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Idle/rightsize/commitment rules, observation windows and risk checks; proposed values require approved policy.</w:t>
            </w:r>
          </w:p>
        </w:tc>
      </w:tr>
      <w:tr>
        <w:trPr>
          <w:cantSplit/>
        </w:trPr>
        <w:tc>
          <w:tcPr>
            <w:tcW w:type="dxa" w:w="2448"/>
          </w:tcPr>
          <w:p>
            <w:pPr>
              <w:spacing w:after="60" w:before="40" w:line="240" w:lineRule="auto"/>
            </w:pPr>
            <w:r>
              <w:rPr>
                <w:sz w:val="18"/>
              </w:rPr>
              <w:t>exclusionRefs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Critical resources, leave/seasonal periods and customer exceptions; versioned reason and owner.</w:t>
            </w:r>
          </w:p>
        </w:tc>
      </w:tr>
      <w:tr>
        <w:trPr>
          <w:cantSplit/>
        </w:trPr>
        <w:tc>
          <w:tcPr>
            <w:tcW w:type="dxa" w:w="2448"/>
          </w:tcPr>
          <w:p>
            <w:pPr>
              <w:spacing w:after="60" w:before="40" w:line="240" w:lineRule="auto"/>
            </w:pPr>
            <w:r>
              <w:rPr>
                <w:sz w:val="18"/>
              </w:rPr>
              <w:t>recommendationOwnerRef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Scoped reviewer and business decision record; no automatic purchase or production write.</w:t>
            </w:r>
          </w:p>
        </w:tc>
      </w:tr>
      <w:tr>
        <w:trPr>
          <w:cantSplit/>
        </w:trPr>
        <w:tc>
          <w:tcPr>
            <w:tcW w:type="dxa" w:w="2448"/>
          </w:tcPr>
          <w:p>
            <w:pPr>
              <w:spacing w:after="60" w:before="40" w:line="240" w:lineRule="auto"/>
            </w:pPr>
            <w:r>
              <w:rPr>
                <w:sz w:val="18"/>
              </w:rPr>
              <w:t>savingsVerificationRef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Baseline, actual billing evidence, compatible units and verification window; estimates are not realised savings.</w:t>
            </w:r>
          </w:p>
        </w:tc>
      </w:tr>
      <w:tr>
        <w:trPr>
          <w:cantSplit/>
        </w:trPr>
        <w:tc>
          <w:tcPr>
            <w:tcW w:type="dxa" w:w="2448"/>
          </w:tcPr>
          <w:p>
            <w:pPr>
              <w:spacing w:after="60" w:before="40" w:line="240" w:lineRule="auto"/>
            </w:pPr>
            <w:r>
              <w:rPr>
                <w:sz w:val="18"/>
              </w:rPr>
              <w:t>executionMode</w:t>
            </w:r>
          </w:p>
        </w:tc>
        <w:tc>
          <w:tcPr>
            <w:tcW w:type="dxa" w:w="2016"/>
          </w:tcPr>
          <w:p>
            <w:pPr>
              <w:spacing w:after="60" w:before="40" w:line="240" w:lineRule="auto"/>
            </w:pPr>
            <w:r>
              <w:rPr>
                <w:sz w:val="18"/>
              </w:rPr>
              <w:t>enum; ReadOnly</w:t>
            </w:r>
          </w:p>
        </w:tc>
        <w:tc>
          <w:tcPr>
            <w:tcW w:type="dxa" w:w="5400"/>
          </w:tcPr>
          <w:p>
            <w:pPr>
              <w:spacing w:after="60" w:before="40" w:line="240" w:lineRule="auto"/>
            </w:pPr>
            <w:r>
              <w:rPr>
                <w:sz w:val="18"/>
              </w:rPr>
              <w:t>ReadOnly initial scope; later approved execution uses M12/M13/adapter authority and is never enabled implicitly.</w:t>
            </w:r>
          </w:p>
        </w:tc>
      </w:tr>
    </w:tbl>
    <w:p>
      <w:pPr>
        <w:pStyle w:val="Tenant_Heading2"/>
      </w:pPr>
      <w:r>
        <w:t>Lifecycle and integration</w:t>
      </w:r>
    </w:p>
    <w:p>
      <w:r>
        <w:t>A settings change cannot turn estimated licence/resource savings into a billing commitment. Off pauses collectors/recommendations and retains rate/version evidence.</w:t>
      </w:r>
    </w:p>
    <w:p>
      <w:pPr>
        <w:pStyle w:val="Tenant_Heading2"/>
      </w:pPr>
      <w:r>
        <w:t>Engine acceptance scenario</w:t>
      </w:r>
    </w:p>
    <w:p>
      <w:r>
        <w:t>ECFG M17 AC: Test missing utilisation, multi-currency totals, excluded critical resource, cost-reader contract denial and engine Off without deleting billing history.</w:t>
      </w:r>
    </w:p>
    <w:p>
      <w:r>
        <w:t>All common TSET/NAV gates apply. Values and references are server-validated in the selected tenant; generic settings edits never replace the owning engine’s publication or approval workflow.</w:t>
      </w:r>
    </w:p>
    <w:p>
      <w:bookmarkStart w:id="52" w:name="orca_ch_052"/>
      <w:pPr>
        <w:pStyle w:val="Heading1"/>
        <w:keepNext/>
        <w:pageBreakBefore/>
      </w:pPr>
      <w:r>
        <w:rPr>
          <w:color w:val="000000"/>
        </w:rPr>
        <w:t>M18 Entra and Microsoft 365 governance and licence engine</w:t>
      </w:r>
      <w:bookmarkEnd w:id="52"/>
    </w:p>
    <w:p>
      <w:r>
        <w:t>Identify inactive identities unused or misassigned licences and governance gaps using existing directory usage and configuration datasets.</w:t>
      </w:r>
    </w:p>
    <w:p>
      <w:r>
        <w:t>Required dependencies: M01 M02; optional M07 M13 M17</w:t>
      </w:r>
    </w:p>
    <w:p>
      <w:pPr>
        <w:pStyle w:val="Heading2"/>
        <w:keepNext/>
      </w:pPr>
      <w:r>
        <w:rPr>
          <w:color w:val="000000"/>
        </w:rPr>
        <w:t>Required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User and licence inventory</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List member guest disabled and privileged users with assigned SKU service plans direct or group assignment status owner and department where authorised. Reconcile purchased consumed and available seats.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Evidence based inactivity</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Correlate last successful sign in interactive and noninteractive evidence with workload usage report dates account age and exceptions. Provide configurable inactivity bands and an explicit unknown activity state.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Licence optimisation</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Find inactive licensed accounts unused workload entitlements disabled users with licences unassigned paid capacity overlapping service plans assignment errors and add-on usage opportunities. Distinguish seat reuse from bill reduction.</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M365 workload opportunities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Exchange Teams SharePoint OneDrive Microsoft 365 Apps and licensed Copilot or other supported add-on usage. Identify ownerless or stale collaboration resources storage growth and inactive user cohorts for reviewed action.</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and access hygiene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stale guests privileged access MFA registration or policy coverage stale devices orphaned application ownership expiring credentials and unused application grants where APIs and licences permit.</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and exceptions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owner attestation leaver and extended leave exclusions service or emergency account safeguards workload dependence legal hold and retention review before removal or access change.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Commercial evidence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Accept approved price contracts renewal dates commitment terms seat minima and cancellation windows; show unknown financial value when only assignment data exists.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Approved action plan</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Create versioned recommendations and change requests for reclaim reassign downgrade rightsize or retire actions; preserve group licensing source and avoid unauthorised group changes.</w:t>
            </w:r>
          </w:p>
        </w:tc>
      </w:tr>
    </w:tbl>
    <w:p>
      <w:pPr>
        <w:keepNext w:val="0"/>
        <w:keepLines w:val="0"/>
        <w:pageBreakBefore w:val="0"/>
        <w:spacing w:before="0" w:after="0" w:line="20" w:lineRule="exact"/>
      </w:pPr>
    </w:p>
    <w:p>
      <w:pPr>
        <w:pStyle w:val="Heading2"/>
        <w:keepNext/>
      </w:pPr>
      <w:r>
        <w:rPr>
          <w:color w:val="000000"/>
        </w:rPr>
        <w:t>Acceptance criteria</w:t>
      </w:r>
    </w:p>
    <w:p>
      <w:pPr>
        <w:pStyle w:val="ListBullet"/>
      </w:pPr>
      <w:r>
        <w:t>M18 AC1 Null or concealed activity cannot classify a user as definitely inactive.</w:t>
      </w:r>
    </w:p>
    <w:p>
      <w:pPr>
        <w:pStyle w:val="ListBullet"/>
      </w:pPr>
      <w:r>
        <w:t>M18 AC2 Failed sign in attempts do not prove actual use; legitimate noninteractive usage is considered.</w:t>
      </w:r>
    </w:p>
    <w:p>
      <w:pPr>
        <w:pStyle w:val="ListBullet"/>
      </w:pPr>
      <w:r>
        <w:t>M18 AC3 A group assigned licence is traced to its assignment source before any action is proposed.</w:t>
      </w:r>
    </w:p>
    <w:p>
      <w:pPr>
        <w:pStyle w:val="ListBullet"/>
      </w:pPr>
      <w:r>
        <w:t>M18 AC4 Reclaiming a seat is not reported as realised invoice savings without commercial evidence.</w:t>
      </w:r>
    </w:p>
    <w:p>
      <w:pPr>
        <w:pStyle w:val="ListBullet"/>
      </w:pPr>
      <w:r>
        <w:t>M18 AC5 Reports respect privacy concealment and field permissions without changing tenant privacy settings automatically.</w:t>
      </w:r>
    </w:p>
    <w:p>
      <w:pPr>
        <w:pStyle w:val="Heading2"/>
        <w:keepNext/>
      </w:pPr>
      <w:r>
        <w:rPr>
          <w:color w:val="000000"/>
        </w:rPr>
        <w:t>Research and release boundary</w:t>
      </w:r>
    </w:p>
    <w:p>
      <w:r>
        <w:t>Deliver read only collection findings evidence and authorised dashboards first. Select current supported APIs scopes retention and licences during development. Refine thresholds and algorithms through tenant dataset tests. Mandatory tenant isolation UAM matrix audit privacy and approval outcomes are unchanged. The engine can release without the other new engines; optional links are inactive until their dependency is available.</w:t>
      </w:r>
    </w:p>
    <w:p>
      <w:pPr>
        <w:pStyle w:val="Heading2"/>
        <w:keepNext/>
      </w:pPr>
      <w:r>
        <w:rPr>
          <w:color w:val="000000"/>
        </w:rPr>
        <w:t>Microsoft 365 and identity opportunity catalogue</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Area</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findings or analysis</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Limitations and action checks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Inactivity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Licensed users with no successful activity within tenant policy; disabled licensed users stale guests and users never observed active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Account age leave exceptions noninteractive use source retention and missing data; no deletion from a null timestamp</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Assignments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SKU service plans direct versus group licences errors overlapping entitlements unused paid inventory and premium feature usage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Overlapping licences may be intentional; same service in two bundles is not proof of a removable SKU</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Workload use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Exchange OneDrive SharePoint Teams Apps and licensed add-on including Copilot usage where reports support it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 report refresh dates and supported windows; hidden names can prevent reliable user joins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Collaboration resources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Inactive Teams groups ownerless teams or sites storage growth external sharing and guest review candidates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Existing retention owner business purpose and legal hold before archive or removal</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Mail and storage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Mailbox type inactive user mailbox or OneDrive retention candidates unused storage entitlements and growth anomalies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Shared mailbox archive size hold and security requirements can still require a licence; no blanket conversion rule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Identity governance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Privileged access review MFA registration gaps stale devices unused apps orphaned ownership expiring credentials and excessive grants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Registration is not proof of effective MFA enforcement; application usage may not be fully observable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Commercial planning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Seat reuse downgrade or reclaim estimates renewal opportunities licence minima and commitment reconciliation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Licence assignment reads do not provide customer price invoices or cancellation rights; approved contract data required</w:t>
            </w:r>
          </w:p>
        </w:tc>
      </w:tr>
    </w:tbl>
    <w:p>
      <w:pPr>
        <w:keepNext w:val="0"/>
        <w:keepLines w:val="0"/>
        <w:pageBreakBefore w:val="0"/>
        <w:spacing w:before="0" w:after="0" w:line="20" w:lineRule="exact"/>
      </w:pPr>
    </w:p>
    <w:p>
      <w:r>
        <w:t>Suggested inactivity decision: classify a user by identity type and exemption first; evaluate lastSuccessfulSignInDateTime and available workload activity within a configured period; inspect legitimate noninteractive or service dependencies; check evidence coverage; label Active CandidateInactive NeverObserved or Unknown. Microsoft distinguishes attempted from successful activity and notes limitations including missing historical backfill for the successful activity property [S36]. Directory sign in inactivity and product nonuse are different findings. No global fixed inactivity threshold is assumed.</w:t>
      </w:r>
    </w:p>
    <w:p>
      <w:r>
        <w:t>Report joining must use reliable immutable identities or validated resolution with source lineage. Do not reverse engineer concealed report identifiers or automatically disable privacy concealment. Usage reporting settings and privacy permissions remain under the customer administrator; unresolved identities produce aggregate or unknown results [S45]. Prefer read only metadata and reports to collecting mailbox contents. Guest access employment and HR status are not inferred from usage alone.</w:t>
      </w:r>
    </w:p>
    <w:p>
      <w:r>
        <w:t>Licence financial states: reusable seat capacity potential future reduction approved renewal change and verified invoice saving. Show recurring cost as Unknown until SKU contract net price currency period commitment and service availability are supplied. Group assigned licences must be reviewed at the assigning group or entitlement policy; a direct user unassign call is not a safe substitute. Preserve business critical service plans records retention and mailbox or OneDrive consequences in the change assessment.</w:t>
      </w:r>
    </w:p>
    <w:p>
      <w:pPr>
        <w:pStyle w:val="Heading2"/>
        <w:keepNext/>
      </w:pPr>
      <w:r>
        <w:rPr>
          <w:color w:val="000000"/>
        </w:rPr>
        <w:t>Suggested contracts and data</w:t>
      </w:r>
    </w:p>
    <w:p>
      <w:r>
        <w:t>Candidate records: DirectorySubject SubjectActivityObservation LicenceSku LicenceAssignment AssignmentOrigin WorkloadUsageObservation IdentityException LicenceOpportunity PriceContract SeatCapacityReview OwnerAttestation and CommercialOutcome. Store successful attempted and noninteractive time fields separately, plus source window reportRefreshUtc collectedAt classificationRuleVersion confidence reason and exclusions. Application credential reviews retain metadata key IDs dates and owners, never credential secret material [S48].</w:t>
      </w:r>
    </w:p>
    <w:p>
      <w:r>
        <w:t>Source directions: Graph users with authorised signInActivity assignedLicenses and assignment states; subscribedSkus for tenant licence inventory; workload usage reports and product configuration APIs where supported [S36 S37 S38]. Copilot has a documented usage reporting surface but endpoint availability permissions licence and period must be confirmed against the current report version [S47]. Additional Exchange or Teams administration adapters may be required; Graph is not assumed to expose every administration setting.</w:t>
      </w:r>
    </w:p>
    <w:p>
      <w:r>
        <w:t>Permission baseline to research: user directory read for needed fields AuditLog.Read.All and appropriate Entra licensing for sign in activity Reports.Read.All for usage reports and the least licence assignment read permission supported by each endpoint. Record actual granted and required permissions per operation. Licence writes identity disabling role or group changes and privacy settings require separate approval and are not included in inventory read consent. Human user level activity needs a more restricted matrix grant than executive aggregate usage.</w:t>
      </w:r>
    </w:p>
    <w:p>
      <w:pPr>
        <w:pStyle w:val="Heading2"/>
        <w:keepNext/>
      </w:pPr>
      <w:r>
        <w:rPr>
          <w:color w:val="000000"/>
        </w:rPr>
        <w:t>M18 Identity and licence governance boundaries</w:t>
      </w:r>
    </w:p>
    <w:p>
      <w:r>
        <w:t>M18 V5 1 The operator-directory guest model authenticates portal users; it does not change the identity source for customer licensing analysis. Read customer Entra and M365 through separately consented customer connectors. Bind every subject to its source directory and do not confuse guest activity in the operator tenant with customer workload use.</w:t>
      </w:r>
    </w:p>
    <w:p>
      <w:r>
        <w:t>M18 V5 2 Keep successful attempted noninteractive and missing activity states distinct; privacy-concealed reports remain unknown. Seat reuse differs from contract reduction; direct and group licensing sources are preserved. Any planned identity or licence mutation remains a separately approved later action.</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User and licence inventory</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List member guest disabled and privileged users with assigned SKU service plans direct or group assignment status owner and department where authorised. Reconcile purchased consumed and available seats.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Evidence based inactivity</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Correlate last successful sign in interactive and noninteractive evidence with workload usage report dates account age and exceptions. Provide configurable inactivity bands and an explicit unknown activity state.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Licence optimisation</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Find inactive licensed accounts unused workload entitlements disabled users with licences unassigned paid capacity overlapping service plans assignment errors and add-on usage opportunities. Distinguish seat reuse from bill reduction.</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M365 workload opportunities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Exchange Teams SharePoint OneDrive Microsoft 365 Apps and licensed Copilot or other supported add-on usage. Identify ownerless or stale collaboration resources storage growth and inactive user cohorts for reviewed action.</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Identity and access hygiene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stale guests privileged access MFA registration or policy coverage stale devices orphaned application ownership expiring credentials and unused application grants where APIs and licences permit.</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and exceptions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owner attestation leaver and extended leave exclusions service or emergency account safeguards workload dependence legal hold and retention review before removal or access change.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M18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Commercial evidence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Accept approved price contracts renewal dates commitment terms seat minima and cancellation windows; show unknown financial value when only assignment data exists.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M18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Approved action plan</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Create versioned recommendations and change requests for reclaim reassign downgrade rightsize or retire actions; preserve group licensing source and avoid unauthorised group changes.</w:t>
            </w:r>
          </w:p>
        </w:tc>
      </w:tr>
    </w:tbl>
    <w:p>
      <w:bookmarkStart w:id="53" w:name="orca_ch_053"/>
      <w:pPr>
        <w:pStyle w:val="Tenant_Heading1"/>
      </w:pPr>
      <w:r>
        <w:t>M18 Entra and M365 governance and licences settings</w:t>
      </w:r>
      <w:bookmarkEnd w:id="53"/>
    </w:p>
    <w:p>
      <w:r>
        <w:t>ECFG M18 | Required dependencies: M01 M02; optional M07 M13 M17.</w:t>
      </w:r>
    </w:p>
    <w:p>
      <w:r>
        <w:t>Permission boundary: licence.inventory.read/user.read, identity.activity.read, governance.finding.review; configuration grant admitted through M02.</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directoryScopeRef</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Approved customer directory; operator sign-in roles confer no customer Graph consent.</w:t>
            </w:r>
          </w:p>
        </w:tc>
      </w:tr>
      <w:tr>
        <w:trPr>
          <w:cantSplit/>
        </w:trPr>
        <w:tc>
          <w:tcPr>
            <w:tcW w:type="dxa" w:w="2448"/>
          </w:tcPr>
          <w:p>
            <w:pPr>
              <w:spacing w:after="60" w:before="40" w:line="240" w:lineRule="auto"/>
            </w:pPr>
            <w:r>
              <w:rPr>
                <w:sz w:val="18"/>
              </w:rPr>
              <w:t>workloadProfiles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usage/licence datasets with retention and product-specific coverage.</w:t>
            </w:r>
          </w:p>
        </w:tc>
      </w:tr>
      <w:tr>
        <w:trPr>
          <w:cantSplit/>
        </w:trPr>
        <w:tc>
          <w:tcPr>
            <w:tcW w:type="dxa" w:w="2448"/>
          </w:tcPr>
          <w:p>
            <w:pPr>
              <w:spacing w:after="60" w:before="40" w:line="240" w:lineRule="auto"/>
            </w:pPr>
            <w:r>
              <w:rPr>
                <w:sz w:val="18"/>
              </w:rPr>
              <w:t>inactivityPolicyRef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Activity window/threshold, account age and missing telemetry classification; null is not inactive.</w:t>
            </w:r>
          </w:p>
        </w:tc>
      </w:tr>
      <w:tr>
        <w:trPr>
          <w:cantSplit/>
        </w:trPr>
        <w:tc>
          <w:tcPr>
            <w:tcW w:type="dxa" w:w="2448"/>
          </w:tcPr>
          <w:p>
            <w:pPr>
              <w:spacing w:after="60" w:before="40" w:line="240" w:lineRule="auto"/>
            </w:pPr>
            <w:r>
              <w:rPr>
                <w:sz w:val="18"/>
              </w:rPr>
              <w:t>exceptionPolicyRef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Leave, service accounts, contractors and customer exclusions with explicit owner/expiry.</w:t>
            </w:r>
          </w:p>
        </w:tc>
      </w:tr>
      <w:tr>
        <w:trPr>
          <w:cantSplit/>
        </w:trPr>
        <w:tc>
          <w:tcPr>
            <w:tcW w:type="dxa" w:w="2448"/>
          </w:tcPr>
          <w:p>
            <w:pPr>
              <w:spacing w:after="60" w:before="40" w:line="240" w:lineRule="auto"/>
            </w:pPr>
            <w:r>
              <w:rPr>
                <w:sz w:val="18"/>
              </w:rPr>
              <w:t>licenceReconciliationRef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Purchased/consumed/available seats, assignment source and add-on dependencies.</w:t>
            </w:r>
          </w:p>
        </w:tc>
      </w:tr>
      <w:tr>
        <w:trPr>
          <w:cantSplit/>
        </w:trPr>
        <w:tc>
          <w:tcPr>
            <w:tcW w:type="dxa" w:w="2448"/>
          </w:tcPr>
          <w:p>
            <w:pPr>
              <w:spacing w:after="60" w:before="40" w:line="240" w:lineRule="auto"/>
            </w:pPr>
            <w:r>
              <w:rPr>
                <w:sz w:val="18"/>
              </w:rPr>
              <w:t>privacyPolicyRef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Named activity exposure, reporting audience and retention limitations.</w:t>
            </w:r>
          </w:p>
        </w:tc>
      </w:tr>
      <w:tr>
        <w:trPr>
          <w:cantSplit/>
        </w:trPr>
        <w:tc>
          <w:tcPr>
            <w:tcW w:type="dxa" w:w="2448"/>
          </w:tcPr>
          <w:p>
            <w:pPr>
              <w:spacing w:after="60" w:before="40" w:line="240" w:lineRule="auto"/>
            </w:pPr>
            <w:r>
              <w:rPr>
                <w:sz w:val="18"/>
              </w:rPr>
              <w:t>actionPolicyRef</w:t>
            </w:r>
          </w:p>
        </w:tc>
        <w:tc>
          <w:tcPr>
            <w:tcW w:type="dxa" w:w="2016"/>
          </w:tcPr>
          <w:p>
            <w:pPr>
              <w:spacing w:after="60" w:before="40" w:line="240" w:lineRule="auto"/>
            </w:pPr>
            <w:r>
              <w:rPr>
                <w:sz w:val="18"/>
              </w:rPr>
              <w:t>PolicyRef; ReadOnly baseline</w:t>
            </w:r>
          </w:p>
        </w:tc>
        <w:tc>
          <w:tcPr>
            <w:tcW w:type="dxa" w:w="5400"/>
          </w:tcPr>
          <w:p>
            <w:pPr>
              <w:spacing w:after="60" w:before="40" w:line="240" w:lineRule="auto"/>
            </w:pPr>
            <w:r>
              <w:rPr>
                <w:sz w:val="18"/>
              </w:rPr>
              <w:t>Review/reuse/reclaim proposal only by default; removal/identity disable needs distinct execution grants.</w:t>
            </w:r>
          </w:p>
        </w:tc>
      </w:tr>
      <w:tr>
        <w:trPr>
          <w:cantSplit/>
        </w:trPr>
        <w:tc>
          <w:tcPr>
            <w:tcW w:type="dxa" w:w="2448"/>
          </w:tcPr>
          <w:p>
            <w:pPr>
              <w:spacing w:after="60" w:before="40" w:line="240" w:lineRule="auto"/>
            </w:pPr>
            <w:r>
              <w:rPr>
                <w:sz w:val="18"/>
              </w:rPr>
              <w:t>reportAudienceRef</w:t>
            </w:r>
          </w:p>
        </w:tc>
        <w:tc>
          <w:tcPr>
            <w:tcW w:type="dxa" w:w="2016"/>
          </w:tcPr>
          <w:p>
            <w:pPr>
              <w:spacing w:after="60" w:before="40" w:line="240" w:lineRule="auto"/>
            </w:pPr>
            <w:r>
              <w:rPr>
                <w:sz w:val="18"/>
              </w:rPr>
              <w:t>Ref; inherit</w:t>
            </w:r>
          </w:p>
        </w:tc>
        <w:tc>
          <w:tcPr>
            <w:tcW w:type="dxa" w:w="5400"/>
          </w:tcPr>
          <w:p>
            <w:pPr>
              <w:spacing w:after="60" w:before="40" w:line="240" w:lineRule="auto"/>
            </w:pPr>
            <w:r>
              <w:rPr>
                <w:sz w:val="18"/>
              </w:rPr>
              <w:t>Aggregate versus named users are separately scoped; no activity details in broad executive projections.</w:t>
            </w:r>
          </w:p>
        </w:tc>
      </w:tr>
    </w:tbl>
    <w:p>
      <w:pPr>
        <w:pStyle w:val="Tenant_Heading2"/>
      </w:pPr>
      <w:r>
        <w:t>Lifecycle and integration</w:t>
      </w:r>
    </w:p>
    <w:p>
      <w:r>
        <w:t>Off preserves evidence and source retention metadata; on re-enable do not manufacture missing historical activity. Unused capacity is not necessarily bill reduction.</w:t>
      </w:r>
    </w:p>
    <w:p>
      <w:pPr>
        <w:pStyle w:val="Tenant_Heading2"/>
      </w:pPr>
      <w:r>
        <w:t>Engine acceptance scenario</w:t>
      </w:r>
    </w:p>
    <w:p>
      <w:r>
        <w:t>ECFG M18 AC: Test null activity, leave exception, newly created account, group-based assignment, seat reuse versus invoice saving and unauthorised named-user export.</w:t>
      </w:r>
    </w:p>
    <w:p>
      <w:r>
        <w:t>All common TSET/NAV gates apply. Values and references are server-validated in the selected tenant; generic settings edits never replace the owning engine’s publication or approval workflow.</w:t>
      </w:r>
    </w:p>
    <w:p>
      <w:bookmarkStart w:id="54" w:name="orca_ch_054"/>
      <w:pPr>
        <w:pStyle w:val="Heading1"/>
        <w:keepNext/>
        <w:pageBreakBefore/>
      </w:pPr>
      <w:r>
        <w:rPr>
          <w:color w:val="000000"/>
        </w:rPr>
        <w:t>M19 Azure DevOps efficiency and governance engine</w:t>
      </w:r>
      <w:bookmarkEnd w:id="54"/>
    </w:p>
    <w:p>
      <w:r>
        <w:t>Review organisation access entitlements delivery consumption and security configuration without coupling releases to the incident engines.</w:t>
      </w:r>
    </w:p>
    <w:p>
      <w:r>
        <w:t>Required dependencies: M01 M02; optional M07 M13 M17 M18</w:t>
      </w:r>
    </w:p>
    <w:p>
      <w:pPr>
        <w:pStyle w:val="Heading2"/>
        <w:keepNext/>
      </w:pPr>
      <w:r>
        <w:rPr>
          <w:color w:val="000000"/>
        </w:rPr>
        <w:t>Required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Organisation inventory</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Connect authorised Azure DevOps organisations projects repositories pipelines pools service connections and identities with stable organisation scoped identifiers.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M19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Access and licences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Correlate last organisation access with entitlement level assignment source project memberships and linked identity to find inactive paid access and entitlement review candidates.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Pipeline efficiency</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failed repeated obsolete or long running pipelines schedules agent utilisation parallel job capacity retention and artifact growth with measured usage evidence.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M19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Delivery security</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branch policies service connection scope excessive permissions secret or certificate expiry and workload identity migration candidates using supported configuration and audit interfaces.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Finding ownership</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 findings to service or project owners provide exclusions dependencies review dates and evidence; do not infer repository or pipeline disuse from user sign in alone.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M19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Value and actions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Estimate savings only with actual billed entitlement or capacity and customer rates; track approval change execution rollback and validated effect. Do not invent a Microsoft DevOps secure score.</w:t>
            </w:r>
          </w:p>
        </w:tc>
      </w:tr>
    </w:tbl>
    <w:p>
      <w:pPr>
        <w:keepNext w:val="0"/>
        <w:keepLines w:val="0"/>
        <w:pageBreakBefore w:val="0"/>
        <w:spacing w:before="0" w:after="0" w:line="20" w:lineRule="exact"/>
      </w:pPr>
    </w:p>
    <w:p>
      <w:pPr>
        <w:pStyle w:val="Heading2"/>
        <w:keepNext/>
      </w:pPr>
      <w:r>
        <w:rPr>
          <w:color w:val="000000"/>
        </w:rPr>
        <w:t>Acceptance criteria</w:t>
      </w:r>
    </w:p>
    <w:p>
      <w:pPr>
        <w:pStyle w:val="ListBullet"/>
      </w:pPr>
      <w:r>
        <w:t>M19 AC1 Inactive organisation access is evaluated alongside automation service dependencies and explicit exceptions.</w:t>
      </w:r>
    </w:p>
    <w:p>
      <w:pPr>
        <w:pStyle w:val="ListBullet"/>
      </w:pPr>
      <w:r>
        <w:t>M19 AC2 Each finding is scoped to the correct organisation project and tenant; Graph IDs and DevOps descriptors are resolved explicitly.</w:t>
      </w:r>
    </w:p>
    <w:p>
      <w:pPr>
        <w:pStyle w:val="ListBullet"/>
      </w:pPr>
      <w:r>
        <w:t>M19 AC3 No repository pipeline artifact access or service connection is deleted automatically.</w:t>
      </w:r>
    </w:p>
    <w:p>
      <w:pPr>
        <w:pStyle w:val="ListBullet"/>
      </w:pPr>
      <w:r>
        <w:t>M19 AC4 Internal policy pass percentages are labelled application calculated and never presented as a Microsoft published score.</w:t>
      </w:r>
    </w:p>
    <w:p>
      <w:pPr>
        <w:pStyle w:val="Heading2"/>
        <w:keepNext/>
      </w:pPr>
      <w:r>
        <w:rPr>
          <w:color w:val="000000"/>
        </w:rPr>
        <w:t>Research and release boundary</w:t>
      </w:r>
    </w:p>
    <w:p>
      <w:r>
        <w:t>Deliver read only collection findings evidence and authorised dashboards first. Select current supported APIs scopes retention and licences during development. Refine thresholds and algorithms through tenant dataset tests. Mandatory tenant isolation UAM matrix audit privacy and approval outcomes are unchanged. The engine can release without the other new engines; optional links are inactive until their dependency is available.</w:t>
      </w:r>
    </w:p>
    <w:p>
      <w:pPr>
        <w:pStyle w:val="Heading2"/>
        <w:keepNext/>
      </w:pPr>
      <w:r>
        <w:rPr>
          <w:color w:val="000000"/>
        </w:rPr>
        <w:t>DevOps assessment design suggestions</w:t>
      </w:r>
    </w:p>
    <w:p>
      <w:r>
        <w:t>Use Azure DevOps organisation entitlement APIs to retrieve access level membership and last organisation access where supported [S39]. Organisation access does not substitute for all repository or automation activity. Join to Entra identities only through verified mappings and maintain external accounts separately. Check group rules Visual Studio entitlements stakeholder access and assignment source before estimating paid seat savings. No access in an observation window is a review candidate rather than proof that an account can be removed.</w:t>
      </w:r>
    </w:p>
    <w:p>
      <w:r>
        <w:t>Pipeline analysis can combine authorised build history schedule configuration pool capacity retained artifacts and billing evidence. Candidate findings include repeated failed builds unused scheduled jobs excessive retention queue pressure oversized self hosted build infrastructure and unused paid parallel capacity. Keep self hosted Azure VM cost in M17 and organisation entitlements or paid pipeline capacity in M19; common invoice lineage prevents double counting. Logs and artifact retention changes require development and audit owner review.</w:t>
      </w:r>
    </w:p>
    <w:p>
      <w:r>
        <w:t>Candidate records: DevOpsOrganisation Project IdentityEntitlement ProjectActivity PipelineUsage AgentPoolCapacity ArtifactRetentionObservation ServiceConnectionReview GovernanceFinding and CostAttributionLink. Findings include ruleVersion observation window source completeness owner project links consequence commercial basis and review status. Credentials and service connection secret material are not collected. Required controls include source authorisation scope validation exception workflow and no automatic removal of access or repositories. Microsoft security guidance provides useful review categories, not a numeric score for this engine [S46].</w:t>
      </w:r>
    </w:p>
    <w:p>
      <w:r>
        <w:t>Internal contracts: QueryOrganisationEfficiency ListAccessReviewCandidates EvaluatePipelineConsumption and PublishGovernanceFinding. Each specialised adapter must prove current REST support organisation role OAuth scope or permission entitlement licensing pagination audit availability and rate behaviour. Authentication methods are researched at development time; do not make long lived broad PATs a default requirement. A read only access and entitlement module can release before pipeline and security checks.</w:t>
      </w:r>
    </w:p>
    <w:p>
      <w:pPr>
        <w:pStyle w:val="Heading2"/>
        <w:keepNext/>
      </w:pPr>
      <w:r>
        <w:rPr>
          <w:color w:val="000000"/>
        </w:rPr>
        <w:t>M19 DevOps scope and commercial evidence</w:t>
      </w:r>
    </w:p>
    <w:p>
      <w:r>
        <w:t>M19 V5 1 Bind each DevOps organisation and identity mapping to the customer tenant registry. The DevOps token entitlement project and service-connection model requires its own least-privilege probe; Graph role or Sentinel consent is not assumed to authorise Azure DevOps.</w:t>
      </w:r>
    </w:p>
    <w:p>
      <w:r>
        <w:t>M19 V5 2 Preserve bundled entitlement exceptions automation accounts billed parallel jobs and self-hosted Azure cost attribution. Do not double-count savings with M17. No Microsoft DevOps secure score is invented; findings are labelled application analysis and separately verified.</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Organisation inventory</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Connect authorised Azure DevOps organisations projects repositories pipelines pools service connections and identities with stable organisation scoped identifiers.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M19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Access and licences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Correlate last organisation access with entitlement level assignment source project memberships and linked identity to find inactive paid access and entitlement review candidates.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Pipeline efficiency</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Review failed repeated obsolete or long running pipelines schedules agent utilisation parallel job capacity retention and artifact growth with measured usage evidence.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M19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Delivery security</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Review branch policies service connection scope excessive permissions secret or certificate expiry and workload identity migration candidates using supported configuration and audit interfaces.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M19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Finding ownership</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 findings to service or project owners provide exclusions dependencies review dates and evidence; do not infer repository or pipeline disuse from user sign in alone.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M19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Value and actions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Estimate savings only with actual billed entitlement or capacity and customer rates; track approval change execution rollback and validated effect. Do not invent a Microsoft DevOps secure score.</w:t>
            </w:r>
          </w:p>
        </w:tc>
      </w:tr>
    </w:tbl>
    <w:p>
      <w:bookmarkStart w:id="55" w:name="orca_ch_055"/>
      <w:pPr>
        <w:pStyle w:val="Tenant_Heading1"/>
      </w:pPr>
      <w:r>
        <w:t>M19 Azure DevOps efficiency and governance settings</w:t>
      </w:r>
      <w:bookmarkEnd w:id="55"/>
    </w:p>
    <w:p>
      <w:r>
        <w:t>ECFG M19 | Required dependencies: M01 M02; optional M07 M13 M17 M18.</w:t>
      </w:r>
    </w:p>
    <w:p>
      <w:r>
        <w:t>Permission boundary: devops.governance.read, devops.configure, devops.recommendation.review.</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organisationScopes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Approved organisations; validate actual identity and cross-organisation isolation.</w:t>
            </w:r>
          </w:p>
        </w:tc>
      </w:tr>
      <w:tr>
        <w:trPr>
          <w:cantSplit/>
        </w:trPr>
        <w:tc>
          <w:tcPr>
            <w:tcW w:type="dxa" w:w="2448"/>
          </w:tcPr>
          <w:p>
            <w:pPr>
              <w:spacing w:after="60" w:before="40" w:line="240" w:lineRule="auto"/>
            </w:pPr>
            <w:r>
              <w:rPr>
                <w:sz w:val="18"/>
              </w:rPr>
              <w:t>projectScopeRefs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Subset of approved organisation projects; avoid broad default-all consent.</w:t>
            </w:r>
          </w:p>
        </w:tc>
      </w:tr>
      <w:tr>
        <w:trPr>
          <w:cantSplit/>
        </w:trPr>
        <w:tc>
          <w:tcPr>
            <w:tcW w:type="dxa" w:w="2448"/>
          </w:tcPr>
          <w:p>
            <w:pPr>
              <w:spacing w:after="60" w:before="40" w:line="240" w:lineRule="auto"/>
            </w:pPr>
            <w:r>
              <w:rPr>
                <w:sz w:val="18"/>
              </w:rPr>
              <w:t>readConnectionRef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minimum-scoped source credentials and expiry handling.</w:t>
            </w:r>
          </w:p>
        </w:tc>
      </w:tr>
      <w:tr>
        <w:trPr>
          <w:cantSplit/>
        </w:trPr>
        <w:tc>
          <w:tcPr>
            <w:tcW w:type="dxa" w:w="2448"/>
          </w:tcPr>
          <w:p>
            <w:pPr>
              <w:spacing w:after="60" w:before="40" w:line="240" w:lineRule="auto"/>
            </w:pPr>
            <w:r>
              <w:rPr>
                <w:sz w:val="18"/>
              </w:rPr>
              <w:t>entitlementPolicyRef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Licence/access review definitions with evidence and ambiguity states.</w:t>
            </w:r>
          </w:p>
        </w:tc>
      </w:tr>
      <w:tr>
        <w:trPr>
          <w:cantSplit/>
        </w:trPr>
        <w:tc>
          <w:tcPr>
            <w:tcW w:type="dxa" w:w="2448"/>
          </w:tcPr>
          <w:p>
            <w:pPr>
              <w:spacing w:after="60" w:before="40" w:line="240" w:lineRule="auto"/>
            </w:pPr>
            <w:r>
              <w:rPr>
                <w:sz w:val="18"/>
              </w:rPr>
              <w:t>consumptionPolicyRef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Pipeline/build consumption windows and thresholds; no fabricated savings from missing usage.</w:t>
            </w:r>
          </w:p>
        </w:tc>
      </w:tr>
      <w:tr>
        <w:trPr>
          <w:cantSplit/>
        </w:trPr>
        <w:tc>
          <w:tcPr>
            <w:tcW w:type="dxa" w:w="2448"/>
          </w:tcPr>
          <w:p>
            <w:pPr>
              <w:spacing w:after="60" w:before="40" w:line="240" w:lineRule="auto"/>
            </w:pPr>
            <w:r>
              <w:rPr>
                <w:sz w:val="18"/>
              </w:rPr>
              <w:t>governanceCheckRefs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Versioned delivery/security rules with source capability profile and finding provenance.</w:t>
            </w:r>
          </w:p>
        </w:tc>
      </w:tr>
      <w:tr>
        <w:trPr>
          <w:cantSplit/>
        </w:trPr>
        <w:tc>
          <w:tcPr>
            <w:tcW w:type="dxa" w:w="2448"/>
          </w:tcPr>
          <w:p>
            <w:pPr>
              <w:spacing w:after="60" w:before="40" w:line="240" w:lineRule="auto"/>
            </w:pPr>
            <w:r>
              <w:rPr>
                <w:sz w:val="18"/>
              </w:rPr>
              <w:t>exceptionOwnerRefs</w:t>
            </w:r>
          </w:p>
        </w:tc>
        <w:tc>
          <w:tcPr>
            <w:tcW w:type="dxa" w:w="2016"/>
          </w:tcPr>
          <w:p>
            <w:pPr>
              <w:spacing w:after="60" w:before="40" w:line="240" w:lineRule="auto"/>
            </w:pPr>
            <w:r>
              <w:rPr>
                <w:sz w:val="18"/>
              </w:rPr>
              <w:t>Ref[]; empty</w:t>
            </w:r>
          </w:p>
        </w:tc>
        <w:tc>
          <w:tcPr>
            <w:tcW w:type="dxa" w:w="5400"/>
          </w:tcPr>
          <w:p>
            <w:pPr>
              <w:spacing w:after="60" w:before="40" w:line="240" w:lineRule="auto"/>
            </w:pPr>
            <w:r>
              <w:rPr>
                <w:sz w:val="18"/>
              </w:rPr>
              <w:t>Time-bounded exceptions and scoped recommendation reviewers; writes are a separate action capability.</w:t>
            </w:r>
          </w:p>
        </w:tc>
      </w:tr>
    </w:tbl>
    <w:p>
      <w:pPr>
        <w:pStyle w:val="Tenant_Heading2"/>
      </w:pPr>
      <w:r>
        <w:t>Lifecycle and integration</w:t>
      </w:r>
    </w:p>
    <w:p>
      <w:r>
        <w:t>Refresh/read configuration is independent of incident engines. Recommendations never edit pipelines, memberships or entitlements unless separately authorised.</w:t>
      </w:r>
    </w:p>
    <w:p>
      <w:pPr>
        <w:pStyle w:val="Tenant_Heading2"/>
      </w:pPr>
      <w:r>
        <w:t>Engine acceptance scenario</w:t>
      </w:r>
    </w:p>
    <w:p>
      <w:r>
        <w:t>ECFG M19 AC: Test organisation scope substitution, source token expiry, absent usage, excluded project and attempted pipeline write with read-only connection.</w:t>
      </w:r>
    </w:p>
    <w:p>
      <w:r>
        <w:t>All common TSET/NAV gates apply. Values and references are server-validated in the selected tenant; generic settings edits never replace the owning engine’s publication or approval workflow.</w:t>
      </w:r>
    </w:p>
    <w:p>
      <w:bookmarkStart w:id="56" w:name="orca_ch_056"/>
      <w:pPr>
        <w:pStyle w:val="Heading1"/>
        <w:keepNext/>
        <w:pageBreakBefore/>
      </w:pPr>
      <w:r>
        <w:rPr>
          <w:color w:val="000000"/>
        </w:rPr>
        <w:t>M20 Microsoft posture scores and recommendation engine</w:t>
      </w:r>
      <w:bookmarkEnd w:id="56"/>
    </w:p>
    <w:p>
      <w:r>
        <w:t>Mirror supported Microsoft scores and controls with portal parity scope history and transparent component breakdowns.</w:t>
      </w:r>
    </w:p>
    <w:p>
      <w:r>
        <w:t>Required dependencies: M01 M02; M15 consumes score facts; no cost engine requirement</w:t>
      </w:r>
    </w:p>
    <w:p>
      <w:pPr>
        <w:pStyle w:val="Heading2"/>
        <w:keepNext/>
      </w:pPr>
      <w:r>
        <w:rPr>
          <w:color w:val="000000"/>
        </w:rPr>
        <w:t>Required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Score source catalogue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Register each product score model API portal experience scope unit refresh cadence licensing denominator and supported breakdown. Display unsupported unavailable stale not assessed and not applicable distinctly.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Azure subscription scores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Collect classic Defender for Cloud Secure Score per subscription and underlying controls. Show current maximum percentage source timestamp resource health and improvement actions.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Advisor score categories</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subscription Advisor overall and Cost Security Reliability Operational Excellence and Performance categories using their published values and units.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M365 and identity scores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tenant Microsoft Secure Score with source supported identity device apps or other product categories control profiles history and recommendations. Identity categories may be part of the same score; do not double count them.</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Additional posture indicators</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Support the newer risk based Cloud Secure Score and Azure Policy compliance when a documented accessible source exists. Keep model versions and compliance measures separate from classic score.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Score dashboard</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subscription and component comparisons trend explanations missing scope coverage portal deep links current controls and remediation work links.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Reconciliation</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Compare ingested values with the source portal for matching scope model and as of date. Explain disagreements caused by refresh delay exemptions filtering model changes or unsupported APIs.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Improvement workflow</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Prioritise recommendations by source risk control scope effort cost and dependency; link to changes problems and response tasks. Predicted score gain is not realised until Microsoft refresh confirms it.</w:t>
            </w:r>
          </w:p>
        </w:tc>
      </w:tr>
    </w:tbl>
    <w:p>
      <w:pPr>
        <w:keepNext w:val="0"/>
        <w:keepLines w:val="0"/>
        <w:pageBreakBefore w:val="0"/>
        <w:spacing w:before="0" w:after="0" w:line="20" w:lineRule="exact"/>
      </w:pPr>
    </w:p>
    <w:p>
      <w:pPr>
        <w:pStyle w:val="Heading2"/>
        <w:keepNext/>
      </w:pPr>
      <w:r>
        <w:rPr>
          <w:color w:val="000000"/>
        </w:rPr>
        <w:t>Acceptance criteria</w:t>
      </w:r>
    </w:p>
    <w:p>
      <w:pPr>
        <w:pStyle w:val="ListBullet"/>
      </w:pPr>
      <w:r>
        <w:t>M20 AC1 No average combines M365 Advisor classic Secure Score and risk based Cloud Secure Score into a claimed Microsoft score.</w:t>
      </w:r>
    </w:p>
    <w:p>
      <w:pPr>
        <w:pStyle w:val="ListBullet"/>
      </w:pPr>
      <w:r>
        <w:t>M20 AC2 Classic Azure and newer risk based scores retain separate series even if both are percentages.</w:t>
      </w:r>
    </w:p>
    <w:p>
      <w:pPr>
        <w:pStyle w:val="ListBullet"/>
      </w:pPr>
      <w:r>
        <w:t>M20 AC3 Subscription totals use Microsoft supported aggregation or an explicitly labelled internal formula with coverage; unavailable scores never become zero.</w:t>
      </w:r>
    </w:p>
    <w:p>
      <w:pPr>
        <w:pStyle w:val="ListBullet"/>
      </w:pPr>
      <w:r>
        <w:t>M20 AC4 Components without a native score show findings or compliance with a clear derived label instead of a fabricated score.</w:t>
      </w:r>
    </w:p>
    <w:p>
      <w:pPr>
        <w:pStyle w:val="ListBullet"/>
      </w:pPr>
      <w:r>
        <w:t>M20 AC5 A sampled portal value matches ingested raw and displayed values at the same model scope and source timestamp.</w:t>
      </w:r>
    </w:p>
    <w:p>
      <w:pPr>
        <w:pStyle w:val="Heading2"/>
        <w:keepNext/>
      </w:pPr>
      <w:r>
        <w:rPr>
          <w:color w:val="000000"/>
        </w:rPr>
        <w:t>Research and release boundary</w:t>
      </w:r>
    </w:p>
    <w:p>
      <w:r>
        <w:t>Deliver read only collection findings evidence and authorised dashboards first. Select current supported APIs scopes retention and licences during development. Refine thresholds and algorithms through tenant dataset tests. Mandatory tenant isolation UAM matrix audit privacy and approval outcomes are unchanged. The engine can release without the other new engines; optional links are inactive until their dependency is available.</w:t>
      </w:r>
    </w:p>
    <w:p>
      <w:pPr>
        <w:pStyle w:val="Heading2"/>
        <w:keepNext/>
      </w:pPr>
      <w:r>
        <w:rPr>
          <w:color w:val="000000"/>
        </w:rPr>
        <w:t>Source score catalogue and scope semantics</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Microsoft measure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Display scope and components</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interpretation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Defender for Cloud classic Secure Score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Azure subscription and supported controls; management group view only with proven aggregation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Mirror Azure portal classic model. Retain source current maximum percentage weight and source timestamp [S40 S41].</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Risk based Cloud Secure Score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Defender portal model and source supported asset scopes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Different calculation and values from classic. Add only after a documented source passes portal parity; never relabel classic API output as risk based [S40].</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Microsoft Secure Score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M365 tenant and source returned control or category breakdown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Graph secureScores and control profiles; identity categories are not additional Azure subscription scores [S42].</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Azure Advisor score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Subscription overall and Cost Security Reliability Operational Excellence Performance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Preserve source category definitions refresh date and unit; score is advisory posture not M365 secure score [S43].</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Azure Policy compliance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Subscription resource group resource assignment or initiative where authorised</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Compliance ratio and evaluated population; not a Microsoft Secure Score. Preserve exemptions unknown and not applicable states [S44].</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Other components and DevOps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Supported native metric only; otherwise configured check counts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no native score or unavailable API; an internal compliance percentage is visibly application calculated.</w:t>
            </w:r>
          </w:p>
        </w:tc>
      </w:tr>
    </w:tbl>
    <w:p>
      <w:pPr>
        <w:keepNext w:val="0"/>
        <w:keepLines w:val="0"/>
        <w:pageBreakBefore w:val="0"/>
        <w:spacing w:before="0" w:after="0" w:line="20" w:lineRule="exact"/>
      </w:pPr>
    </w:p>
    <w:p>
      <w:r>
        <w:t>Suggested score record: tenantId provider product scoreName modelVersion portalExperience scopeType scopeId category current max nativeValue nativeUnit displayedPercent sourceAsOf collectedAt coverage exemptions definitionVersion and portalReference. Score series keys include model version and scope, so a source model change starts a new series instead of faking an improvement. Raw payload or hashed evidence is retained under tenant policy for portal reconciliation.</w:t>
      </w:r>
    </w:p>
    <w:p>
      <w:r>
        <w:t>Normalise only with a proven source unit: a fraction 0.72 may display 72 percent; a 0 to 100 value 72 remains 72. Record conversion metadata and validate with source examples; do not decide units from magnitude alone. Where source current and max apply, percentage is 100 times current divided by max and a zero denominator is Not applicable or Unknown as defined by the source. Not all categories provide the same denominator.</w:t>
      </w:r>
    </w:p>
    <w:p>
      <w:r>
        <w:t>Subscription overview must show one row per authorised subscription and model with current score maximum percentage source date top affected controls failed or unhealthy resource counts and trend. Component drilldown may show a native category or control contribution when supported. If resource group or individual resource percentages are application derived compliance measures, label them and publish denominator exclusions and formula. A tenant M365 score must not be copied into each Azure subscription row.</w:t>
      </w:r>
    </w:p>
    <w:p>
      <w:r>
        <w:t>Cross subscription aggregation: prefer Microsoft returned aggregate for the exact selected scopes. Otherwise implement only the published compatible model formula, including source weights where required, and label it locally calculated; do not use a plain arithmetic mean or sum of unlike score models. Partial subscription coverage changes the selected population and must be shown. Keep native Microsoft score separate from internally chosen business KPI targets and RAG thresholds.</w:t>
      </w:r>
    </w:p>
    <w:p>
      <w:r>
        <w:t>Improvement tracking links native recommendation and control IDs to assets owners changes exceptions evidence and next review. Source score updates can lag completed action and maximum scores can change. Show estimated benefit source pending refresh and verified Microsoft update separately. High score is not proof that no incident can occur. The dashboard should prioritise material risk alongside score improvement; an apparent score increase caused by reduced assessed scope is explained.</w:t>
      </w:r>
    </w:p>
    <w:p>
      <w:pPr>
        <w:pStyle w:val="Heading2"/>
        <w:keepNext/>
      </w:pPr>
      <w:r>
        <w:rPr>
          <w:color w:val="000000"/>
        </w:rPr>
        <w:t>Candidate source contracts</w:t>
      </w:r>
    </w:p>
    <w:p>
      <w:r>
        <w:t>Research anchors: GET /subscriptions/{id}/providers/Microsoft.Security/secureScores and supported controls for classic Azure; GET /subscriptions/{id}/providers/Microsoft.Advisor/advisorScore for Advisor; Graph /security/secureScores and /security/secureScoreControlProfiles for M365; PolicyInsights policyStates summary for compliance [S41 S42 S43 S44]. These have different permission and resource audiences. Confirm current stable versions and tenant support; only choose external AI SOC API controllers if another client needs the results.</w:t>
      </w:r>
    </w:p>
    <w:p>
      <w:r>
        <w:t>Collection jobs must distinguish denied consent not licensed not onboarded unsupported source throttled stale not assessed and genuinely zero. Read permissions should be scoped to subscriptions or tenant products as applicable; no score collection role includes remediation write rights. Expose module health and latest successful snapshot. Require a parity test with recorded portal scope model date and sample controls before accepting each adapter. Risk based portal values without a supported API remain a documented gap rather than a fabricated reconstruction.</w:t>
      </w:r>
    </w:p>
    <w:p>
      <w:pPr>
        <w:pStyle w:val="Heading2"/>
        <w:keepNext/>
      </w:pPr>
      <w:r>
        <w:rPr>
          <w:color w:val="000000"/>
        </w:rPr>
        <w:t>M20 Score model and tenant binding</w:t>
      </w:r>
    </w:p>
    <w:p>
      <w:r>
        <w:t>M20 V5 1 The Microsoft score source catalogue remains authoritative for model scope units dates and supported components. Subscription classic Secure Score Advisor categories M365 tenant Secure Score risk-based models and Policy compliance stay separate. Missing scope and denominator are unavailable, not zero.</w:t>
      </w:r>
    </w:p>
    <w:p>
      <w:r>
        <w:t>M20 V5 2 Use Read-side connector permissions appropriate to each model and prove source-portal parity before first release. A policy or licence recommendation is not an executable action, and predicted improvement remains distinct from a source-refreshed realised score. Do not block score delivery on incident integration.</w:t>
      </w:r>
    </w:p>
    <w:p>
      <w:pPr>
        <w:pStyle w:val="Heading2"/>
        <w:keepNext/>
      </w:pPr>
      <w:r>
        <w:rPr>
          <w:color w:val="000000"/>
        </w:rPr>
        <w:t>Developer work packages</w:t>
      </w:r>
    </w:p>
    <w:tbl>
      <w:tblPr>
        <w:tblStyle w:val="LightShading-Accent1"/>
        <w:tblW w:type="auto" w:w="0"/>
        <w:tblLayout w:type="fixed"/>
        <w:tblLook w:firstColumn="1" w:firstRow="1" w:lastColumn="0" w:lastRow="0" w:noHBand="0" w:noVBand="1" w:val="04A0"/>
      </w:tblPr>
      <w:tblGrid>
        <w:gridCol w:w="1008"/>
        <w:gridCol w:w="2160"/>
        <w:gridCol w:w="7200"/>
      </w:tblGrid>
      <w:tr>
        <w:trPr>
          <w:tblHeader/>
          <w:cantSplit/>
          <w:tblHeader/>
          <w:cantSplit/>
        </w:trPr>
        <w:tc>
          <w:tcPr>
            <w:tcW w:type="dxa" w:w="1008"/>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Task ID</w:t>
            </w:r>
          </w:p>
        </w:tc>
        <w:tc>
          <w:tcPr>
            <w:tcW w:type="dxa" w:w="216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720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delivery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01</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Score source catalogue</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Register each product score model API portal experience scope unit refresh cadence licensing denominator and supported breakdown. Display unsupported unavailable stale not assessed and not applicable distinctly.</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02</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Azure subscription scores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Collect classic Defender for Cloud Secure Score per subscription and underlying controls. Show current maximum percentage source timestamp resource health and improvement actions.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03</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Advisor score categories</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Show subscription Advisor overall and Cost Security Reliability Operational Excellence and Performance categories using their published values and units.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04</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M365 and identity scores</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Show tenant Microsoft Secure Score with source supported identity device apps or other product categories control profiles history and recommendations. Identity categories may be part of the same score; do not double count them.</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05</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Additional posture indicators</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Support the newer risk based Cloud Secure Score and Azure Policy compliance when a documented accessible source exists. Keep model versions and compliance measures separate from classic score.</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06</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Score dashboard</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Provide subscription and component comparisons trend explanations missing scope coverage portal deep links current controls and remediation work links.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M20 07</w:t>
            </w:r>
          </w:p>
        </w:tc>
        <w:tc>
          <w:tcPr>
            <w:tcW w:type="dxa" w:w="21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Reconciliation</w:t>
            </w:r>
          </w:p>
        </w:tc>
        <w:tc>
          <w:tcPr>
            <w:tcW w:type="dxa" w:w="72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Compare ingested values with the source portal for matching scope model and as of date. Explain disagreements caused by refresh delay exemptions filtering model changes or unsupported APIs.</w:t>
            </w:r>
          </w:p>
        </w:tc>
      </w:tr>
      <w:tr>
        <w:trPr>
          <w:cantSplit/>
          <w:cantSplit/>
        </w:trPr>
        <w:tc>
          <w:tcPr>
            <w:tcW w:type="dxa" w:w="100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M20 08</w:t>
            </w:r>
          </w:p>
        </w:tc>
        <w:tc>
          <w:tcPr>
            <w:tcW w:type="dxa" w:w="21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Improvement workflow</w:t>
            </w:r>
          </w:p>
        </w:tc>
        <w:tc>
          <w:tcPr>
            <w:tcW w:type="dxa" w:w="72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Prioritise recommendations by source risk control scope effort cost and dependency; link to changes problems and response tasks. Predicted score gain is not realised until Microsoft refresh confirms it.</w:t>
            </w:r>
          </w:p>
        </w:tc>
      </w:tr>
    </w:tbl>
    <w:p>
      <w:bookmarkStart w:id="57" w:name="orca_ch_057"/>
      <w:pPr>
        <w:pStyle w:val="Tenant_Heading1"/>
      </w:pPr>
      <w:r>
        <w:t>M20 Microsoft posture scores and recommendations settings</w:t>
      </w:r>
      <w:bookmarkEnd w:id="57"/>
    </w:p>
    <w:p>
      <w:r>
        <w:t>ECFG M20 | Required dependencies: M01 M02; M15 optionally consumes facts.</w:t>
      </w:r>
    </w:p>
    <w:p>
      <w:r>
        <w:t>Permission boundary: posture.read/configure/recommendation.review.</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scoreSourceProfiles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Approved products/endpoints and capability profile versions.</w:t>
            </w:r>
          </w:p>
        </w:tc>
      </w:tr>
      <w:tr>
        <w:trPr>
          <w:cantSplit/>
        </w:trPr>
        <w:tc>
          <w:tcPr>
            <w:tcW w:type="dxa" w:w="2448"/>
          </w:tcPr>
          <w:p>
            <w:pPr>
              <w:spacing w:after="60" w:before="40" w:line="240" w:lineRule="auto"/>
            </w:pPr>
            <w:r>
              <w:rPr>
                <w:sz w:val="18"/>
              </w:rPr>
              <w:t>sourceScopes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Explicit subscriptions/directories/resources as supported by each score model.</w:t>
            </w:r>
          </w:p>
        </w:tc>
      </w:tr>
      <w:tr>
        <w:trPr>
          <w:cantSplit/>
        </w:trPr>
        <w:tc>
          <w:tcPr>
            <w:tcW w:type="dxa" w:w="2448"/>
          </w:tcPr>
          <w:p>
            <w:pPr>
              <w:spacing w:after="60" w:before="40" w:line="240" w:lineRule="auto"/>
            </w:pPr>
            <w:r>
              <w:rPr>
                <w:sz w:val="18"/>
              </w:rPr>
              <w:t>nativeModelRefs</w:t>
            </w:r>
          </w:p>
        </w:tc>
        <w:tc>
          <w:tcPr>
            <w:tcW w:type="dxa" w:w="2016"/>
          </w:tcPr>
          <w:p>
            <w:pPr>
              <w:spacing w:after="60" w:before="40" w:line="240" w:lineRule="auto"/>
            </w:pPr>
            <w:r>
              <w:rPr>
                <w:sz w:val="18"/>
              </w:rPr>
              <w:t>Ref[]; source-bound</w:t>
            </w:r>
          </w:p>
        </w:tc>
        <w:tc>
          <w:tcPr>
            <w:tcW w:type="dxa" w:w="5400"/>
          </w:tcPr>
          <w:p>
            <w:pPr>
              <w:spacing w:after="60" w:before="40" w:line="240" w:lineRule="auto"/>
            </w:pPr>
            <w:r>
              <w:rPr>
                <w:sz w:val="18"/>
              </w:rPr>
              <w:t>Pin native score/control definitions; do not double-count identity categories as another total score.</w:t>
            </w:r>
          </w:p>
        </w:tc>
      </w:tr>
      <w:tr>
        <w:trPr>
          <w:cantSplit/>
        </w:trPr>
        <w:tc>
          <w:tcPr>
            <w:tcW w:type="dxa" w:w="2448"/>
          </w:tcPr>
          <w:p>
            <w:pPr>
              <w:spacing w:after="60" w:before="40" w:line="240" w:lineRule="auto"/>
            </w:pPr>
            <w:r>
              <w:rPr>
                <w:sz w:val="18"/>
              </w:rPr>
              <w:t>controlProfileRefs</w:t>
            </w:r>
          </w:p>
        </w:tc>
        <w:tc>
          <w:tcPr>
            <w:tcW w:type="dxa" w:w="2016"/>
          </w:tcPr>
          <w:p>
            <w:pPr>
              <w:spacing w:after="60" w:before="40" w:line="240" w:lineRule="auto"/>
            </w:pPr>
            <w:r>
              <w:rPr>
                <w:sz w:val="18"/>
              </w:rPr>
              <w:t>Ref[]; source-bound</w:t>
            </w:r>
          </w:p>
        </w:tc>
        <w:tc>
          <w:tcPr>
            <w:tcW w:type="dxa" w:w="5400"/>
          </w:tcPr>
          <w:p>
            <w:pPr>
              <w:spacing w:after="60" w:before="40" w:line="240" w:lineRule="auto"/>
            </w:pPr>
            <w:r>
              <w:rPr>
                <w:sz w:val="18"/>
              </w:rPr>
              <w:t>Retain source version, available breakdown and unmapped controls.</w:t>
            </w:r>
          </w:p>
        </w:tc>
      </w:tr>
      <w:tr>
        <w:trPr>
          <w:cantSplit/>
        </w:trPr>
        <w:tc>
          <w:tcPr>
            <w:tcW w:type="dxa" w:w="2448"/>
          </w:tcPr>
          <w:p>
            <w:pPr>
              <w:spacing w:after="60" w:before="40" w:line="240" w:lineRule="auto"/>
            </w:pPr>
            <w:r>
              <w:rPr>
                <w:sz w:val="18"/>
              </w:rPr>
              <w:t>recommendationPolicyRef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Ownership, review, exception and verification of recommended controls.</w:t>
            </w:r>
          </w:p>
        </w:tc>
      </w:tr>
      <w:tr>
        <w:trPr>
          <w:cantSplit/>
        </w:trPr>
        <w:tc>
          <w:tcPr>
            <w:tcW w:type="dxa" w:w="2448"/>
          </w:tcPr>
          <w:p>
            <w:pPr>
              <w:spacing w:after="60" w:before="40" w:line="240" w:lineRule="auto"/>
            </w:pPr>
            <w:r>
              <w:rPr>
                <w:sz w:val="18"/>
              </w:rPr>
              <w:t>freshnessPolicyRef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As-of time, source delay and unassessed scope; stale healthy is not current secure coverage.</w:t>
            </w:r>
          </w:p>
        </w:tc>
      </w:tr>
      <w:tr>
        <w:trPr>
          <w:cantSplit/>
        </w:trPr>
        <w:tc>
          <w:tcPr>
            <w:tcW w:type="dxa" w:w="2448"/>
          </w:tcPr>
          <w:p>
            <w:pPr>
              <w:spacing w:after="60" w:before="40" w:line="240" w:lineRule="auto"/>
            </w:pPr>
            <w:r>
              <w:rPr>
                <w:sz w:val="18"/>
              </w:rPr>
              <w:t>reconciliationPolicyRef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Portal parity rules, rounding, scope/model-compatible comparisons and documented discrepancies.</w:t>
            </w:r>
          </w:p>
        </w:tc>
      </w:tr>
    </w:tbl>
    <w:p>
      <w:pPr>
        <w:pStyle w:val="Tenant_Heading2"/>
      </w:pPr>
      <w:r>
        <w:t>Lifecycle and integration</w:t>
      </w:r>
    </w:p>
    <w:p>
      <w:r>
        <w:t>On plus Degraded remains the configured intent; display source outage separately. No required dependency on M17 cost or M04 incident intake.</w:t>
      </w:r>
    </w:p>
    <w:p>
      <w:pPr>
        <w:pStyle w:val="Tenant_Heading2"/>
      </w:pPr>
      <w:r>
        <w:t>Engine acceptance scenario</w:t>
      </w:r>
    </w:p>
    <w:p>
      <w:r>
        <w:t>ECFG M20 AC: Test partial source scope, portal rounding, incompatible model comparisons, duplicate score components and Off source facts excluded from ordinary reports.</w:t>
      </w:r>
    </w:p>
    <w:p>
      <w:r>
        <w:t>All common TSET/NAV gates apply. Values and references are server-validated in the selected tenant; generic settings edits never replace the owning engine’s publication or approval workflow.</w:t>
      </w:r>
    </w:p>
    <w:p>
      <w:bookmarkStart w:id="58" w:name="orca_ch_058"/>
      <w:pPr>
        <w:pStyle w:val="Heading1"/>
        <w:keepNext/>
        <w:pageBreakBefore/>
      </w:pPr>
      <w:r>
        <w:rPr>
          <w:color w:val="000000"/>
        </w:rPr>
        <w:t>M21 ITSM incident and service request engine</w:t>
      </w:r>
      <w:bookmarkEnd w:id="58"/>
    </w:p>
    <w:p>
      <w:r>
        <w:t>Required dependencies: M01 identity/tenant platform and M02 UAM. M03 provides attachments, M09 group and shift routing, M13 changes, M14 problems and M16 notifications. The core can run before optional linked engines; unavailable capabilities are visibly disabled rather than fabricated.</w:t>
      </w:r>
    </w:p>
    <w:p>
      <w:pPr>
        <w:pStyle w:val="Heading2"/>
        <w:keepNext/>
      </w:pPr>
      <w:r>
        <w:rPr>
          <w:color w:val="000000"/>
        </w:rPr>
        <w:t>ITSM scope and record types</w:t>
      </w:r>
    </w:p>
    <w:p>
      <w:r>
        <w:t>IT 01  Deliver a technical service-management module alongside security incident management. A technical incident represents unplanned service interruption or degraded quality; a service request represents a predefined request for service or access. A problem investigates causes and workarounds; a change governs an alteration. Do not model them all as one status enum.</w:t>
      </w:r>
    </w:p>
    <w:tbl>
      <w:tblPr>
        <w:tblW w:type="auto" w:w="0"/>
        <w:tblLayout w:type="fixed"/>
        <w:tblLook w:firstColumn="1" w:firstRow="1" w:lastColumn="0" w:lastRow="0" w:noHBand="0" w:noVBand="1" w:val="04A0"/>
      </w:tblPr>
      <w:tblGrid>
        <w:gridCol w:w="2304"/>
        <w:gridCol w:w="1872"/>
        <w:gridCol w:w="5904"/>
      </w:tblGrid>
      <w:tr>
        <w:trPr>
          <w:tblHeader/>
          <w:cantSplit/>
          <w:tblHeade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Record</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Owning capability</w:t>
            </w:r>
          </w:p>
        </w:tc>
        <w:tc>
          <w:tcPr>
            <w:tcW w:type="dxa" w:w="59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Purpose</w:t>
            </w:r>
          </w:p>
        </w:tc>
      </w:tr>
      <w:tr>
        <w:trPr>
          <w:cantSplit/>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ITSM Incident</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w:t>
            </w:r>
          </w:p>
        </w:tc>
        <w:tc>
          <w:tcPr>
            <w:tcW w:type="dxa" w:w="59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Restore service, record impact, coordinate diagnosis and confirm restoration.</w:t>
            </w:r>
          </w:p>
        </w:tc>
      </w:tr>
      <w:tr>
        <w:trPr>
          <w:cantSplit/>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Service Request</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M21</w:t>
            </w:r>
          </w:p>
        </w:tc>
        <w:tc>
          <w:tcPr>
            <w:tcW w:type="dxa" w:w="59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Validate and fulfil catalogue requests through approval and task workflows.</w:t>
            </w:r>
          </w:p>
        </w:tc>
      </w:tr>
      <w:tr>
        <w:trPr>
          <w:cantSplit/>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 and Known Error</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M14</w:t>
            </w:r>
          </w:p>
        </w:tc>
        <w:tc>
          <w:tcPr>
            <w:tcW w:type="dxa" w:w="59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Investigate recurring causes and publish controlled workarounds.</w:t>
            </w:r>
          </w:p>
        </w:tc>
      </w:tr>
      <w:tr>
        <w:trPr>
          <w:cantSplit/>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 Request</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w:t>
            </w:r>
          </w:p>
        </w:tc>
        <w:tc>
          <w:tcPr>
            <w:tcW w:type="dxa" w:w="59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Assess risk, approve, schedule, implement, validate and review changes.</w:t>
            </w:r>
          </w:p>
        </w:tc>
      </w:tr>
      <w:tr>
        <w:trPr>
          <w:cantSplit/>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Security Incident</w:t>
            </w:r>
          </w:p>
        </w:tc>
        <w:tc>
          <w:tcPr>
            <w:tcW w:type="dxa" w:w="187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w:t>
            </w:r>
          </w:p>
        </w:tc>
        <w:tc>
          <w:tcPr>
            <w:tcW w:type="dxa" w:w="59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NIST-aligned investigation, containment, response and recovery.</w:t>
            </w:r>
          </w:p>
        </w:tc>
      </w:tr>
    </w:tbl>
    <w:p>
      <w:pPr>
        <w:spacing w:before="100"/>
      </w:pPr>
      <w:r>
        <w:t>IT 02  PeopleCert ITIL guidance informs service restoration and request fulfilment [R6, R7]. The proposed statuses in this specification are Orca workflow choices, not a mandatory universal ITIL status list or a claim of ITIL certification. Retain NIST SP 800-61 Revision 3 and CSF 2.0 alignment for security incidents [R9].</w:t>
      </w:r>
    </w:p>
    <w:p>
      <w:r>
        <w:t>IT 03  Use a shared navigation shell and work-board projection with record-type filters, consistent links and common assignment. Preserve separate aggregate owners, lifecycles, approval rules and source synchronisation. Technical tickets created from mail are not automatically Sentinel/Defender incidents and are not pushed upstream.</w:t>
      </w:r>
    </w:p>
    <w:p>
      <w:r>
        <w:t>IT 04  An authorised analyst can link a suspected security event to an M04 incident, preserving the ITSM restoration ticket. Record the relationship and create command idempotently. Do not silently convert, delete, expose or close the other record. Technical restoration does not prove cybersecurity containment or recovery.</w:t>
      </w:r>
    </w:p>
    <w:p>
      <w:r>
        <w:t>The core delivery is incident and request management, requester access and email intake. Related problem, change, knowledge, catalogue, service/asset and reporting functions below are part of the end-to-end module scope, delivered in increments rather than promised as an entire enterprise suite at first release.</w:t>
      </w:r>
    </w:p>
    <w:p>
      <w:pPr>
        <w:pStyle w:val="Heading2"/>
        <w:keepNext/>
      </w:pPr>
      <w:r>
        <w:rPr>
          <w:color w:val="000000"/>
        </w:rPr>
        <w:t>Ticket board groups and ownership</w:t>
      </w:r>
    </w:p>
    <w:p>
      <w:r>
        <w:t>IT 05  Mail, portal, manual and approved API tickets appear in one M21 board and searchable list. Provide views for All Permitted, My Work, My Groups, Unassigned, Awaiting Requester, Approvals, At Risk, Breached, Major Incidents and Resolved Pending Closure. Filter by tenant, type, service, priority, group, assignee, age and SLA.</w:t>
      </w:r>
    </w:p>
    <w:p>
      <w:r>
        <w:t>IT 06  Every active ticket has one accountable assignment group and optionally one responsible analyst. Support triage, service-based and category-based routing, group transfer with reason, individual reassignment, watchers, linked tasks and vendor escalation. Group ownership remains when the named analyst goes off shift. Assignment never creates read permission.</w:t>
      </w:r>
    </w:p>
    <w:p>
      <w:r>
        <w:t>IT 07  Reuse M09 for group/member eligibility, skills, shifts, capacity, round robin and fallback. It emits a proposal with a lease; M21 applies it with expected revision and acknowledges. Concurrent proposals cannot silently overwrite each other. If no eligible analyst exists, keep the ticket in a monitored group queue and alert the duty manager.</w:t>
      </w:r>
    </w:p>
    <w:p>
      <w:r>
        <w:t>IT 08  Routing order is deterministic: explicit entitled service/catalogue route, matching mailbox rule route, category route, then default triage group. Record which rule and version were used. Service criticality and impact can escalate priority, but cannot grant unrestricted access or bypass assignment eligibility.</w:t>
      </w:r>
    </w:p>
    <w:p>
      <w:pPr>
        <w:pStyle w:val="Heading3"/>
        <w:keepNext/>
      </w:pPr>
      <w:r>
        <w:rPr>
          <w:color w:val="000000"/>
        </w:rPr>
        <w:t>Analyst workspace</w:t>
      </w:r>
    </w:p>
    <w:p>
      <w:r>
        <w:t>IT 09  Provide a work form with service/asset, impact and urgency, requester, affected users, assignment, SLA clocks, related records, tasks, public messages, internal notes, attachments, activity and resolution. Use Radzen grids/forms/tabs; a Kanban view is optional and must invoke the same transition API as the form.</w:t>
      </w:r>
    </w:p>
    <w:p>
      <w:r>
        <w:t>IT 10  Support bulk assignment and categorisation with per-item authorisation, revision checks and partial-result reporting. Do not allow a bulk operation to bypass closure gates. Deduplicate or merge only with a reason, preserved aliases and visibility review; never merge across tenants.</w:t>
      </w:r>
    </w:p>
    <w:p>
      <w:r>
        <w:t>IT 11  Notify group members according to subscription preferences and escalation policy. Shift handover records outstanding work, next action and accountable group. Vendor work uses a tracked child task; it does not remove internal accountability.</w:t>
      </w:r>
    </w:p>
    <w:p>
      <w:pPr>
        <w:pStyle w:val="Heading2"/>
        <w:keepNext/>
      </w:pPr>
      <w:r>
        <w:rPr>
          <w:color w:val="000000"/>
        </w:rPr>
        <w:t>Incident lifecycle and transition guards</w:t>
      </w:r>
    </w:p>
    <w:p>
      <w:r>
        <w:t>IT 12  Store a machine state, readable label, reason code, timestamps and a workflow version. Status changes go through commands with permissions and expected revision; arbitrary status patches are not allowed. Configuration can narrow or rename valid states without changing existing records silently.</w:t>
      </w:r>
    </w:p>
    <w:tbl>
      <w:tblPr>
        <w:tblW w:type="auto" w:w="0"/>
        <w:tblLayout w:type="fixed"/>
        <w:tblLook w:firstColumn="1" w:firstRow="1" w:lastColumn="0" w:lastRow="0" w:noHBand="0" w:noVBand="1" w:val="04A0"/>
      </w:tblPr>
      <w:tblGrid>
        <w:gridCol w:w="1512"/>
        <w:gridCol w:w="3384"/>
        <w:gridCol w:w="5184"/>
      </w:tblGrid>
      <w:tr>
        <w:trPr>
          <w:tblHeader/>
          <w:cantSplit/>
          <w:tblHeader/>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State</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Permitted next states</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guard</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New</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Triaged, Cancelled</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Capture source/requester and description; triage records category, service and impact assessment.</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Triaged</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Assigned, Cancelled</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Priority and assignment-group decision recorded.</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Assigned</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 Progress, Triaged</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Eligible group accepts work; analyst optional until work starts.</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 Progress</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Pending, Resolved, Assigned</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Pending requires reason; resolution requires restoration evidence and resolution code.</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Pending</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 Progress, Assigned, Cancelled</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Reason is Awaiting Requester, Vendor, Change or Scheduled Work; due review time mandatory.</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Resolved</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Closed, In Progress</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Requester rejects/reopens or accepts; closure policy may allow reviewed auto-close.</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Closed</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Controlled reopen or linked new ticket</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Final record remains auditable; manager permission and reason required to reopen.</w:t>
            </w:r>
          </w:p>
        </w:tc>
      </w:tr>
      <w:tr>
        <w:trPr>
          <w:cantSplit/>
          <w:cantSplit/>
        </w:trPr>
        <w:tc>
          <w:tcPr>
            <w:tcW w:type="dxa" w:w="151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Cancelled</w:t>
            </w:r>
          </w:p>
        </w:tc>
        <w:tc>
          <w:tcPr>
            <w:tcW w:type="dxa" w:w="33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Controlled reopen</w:t>
            </w:r>
          </w:p>
        </w:tc>
        <w:tc>
          <w:tcPr>
            <w:tcW w:type="dxa" w:w="518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Reason and authority required; retain history, relationships and attachments.</w:t>
            </w:r>
          </w:p>
        </w:tc>
      </w:tr>
    </w:tbl>
    <w:p>
      <w:pPr>
        <w:spacing w:before="100"/>
      </w:pPr>
      <w:r>
        <w:t>IT 13  Duplicate is a cancellation/resolution reason plus canonical link, not a deletion. Reopened is an event that returns to In Progress and increments reopen count. Major Incident is a classification and coordination workflow, not a replacement for the lifecycle.</w:t>
      </w:r>
    </w:p>
    <w:p>
      <w:r>
        <w:t>IT 14  Resolve only when mandatory tasks are complete or explicitly waived, restoration summary and resolution code exist, requester-visible resolution is safe, and linked required change verification has passed. Restore service using a workaround when appropriate; root cause can remain under M14. Close only after acceptance or the configured review window.</w:t>
      </w:r>
    </w:p>
    <w:p>
      <w:r>
        <w:t>IT 15  A requester reply can resume Awaiting Requester under policy, but cannot approve a change or mark work complete. An automated recovery email is evidence for review, not automatic resolution unless an explicitly approved, source-authenticated rule permits it.</w:t>
      </w:r>
    </w:p>
    <w:p>
      <w:pPr>
        <w:pStyle w:val="Heading2"/>
        <w:keepNext/>
      </w:pPr>
      <w:r>
        <w:rPr>
          <w:color w:val="000000"/>
        </w:rPr>
        <w:t>Priority SLA and escalation</w:t>
      </w:r>
    </w:p>
    <w:p>
      <w:r>
        <w:t>IT 16  Derive priority from impact and urgency, with service criticality and major-incident review. Proposed matrix below is a starting configuration; agree business definitions and targets per tenant/service before activation.</w:t>
      </w:r>
    </w:p>
    <w:tbl>
      <w:tblPr>
        <w:tblW w:type="auto" w:w="0"/>
        <w:tblLayout w:type="fixed"/>
        <w:tblLook w:firstColumn="1" w:firstRow="1" w:lastColumn="0" w:lastRow="0" w:noHBand="0" w:noVBand="1" w:val="04A0"/>
      </w:tblPr>
      <w:tblGrid>
        <w:gridCol w:w="4032"/>
        <w:gridCol w:w="2016"/>
        <w:gridCol w:w="2016"/>
        <w:gridCol w:w="2016"/>
      </w:tblGrid>
      <w:tr>
        <w:trPr>
          <w:tblHeader/>
          <w:cantSplit/>
          <w:tblHeader/>
          <w:cantSplit/>
        </w:trPr>
        <w:tc>
          <w:tcPr>
            <w:tcW w:type="dxa" w:w="40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Impact against urgency</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High</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Medium</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Low</w:t>
            </w:r>
          </w:p>
        </w:tc>
      </w:tr>
      <w:tr>
        <w:trPr>
          <w:cantSplit/>
          <w:cantSplit/>
        </w:trPr>
        <w:tc>
          <w:tcPr>
            <w:tcW w:type="dxa" w:w="40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High business impact</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P1 Critical</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P2 High</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P3 Medium</w:t>
            </w:r>
          </w:p>
        </w:tc>
      </w:tr>
      <w:tr>
        <w:trPr>
          <w:cantSplit/>
          <w:cantSplit/>
        </w:trPr>
        <w:tc>
          <w:tcPr>
            <w:tcW w:type="dxa" w:w="40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Medium impact</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P2 High</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P3 Medium</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P4 Low</w:t>
            </w:r>
          </w:p>
        </w:tc>
      </w:tr>
      <w:tr>
        <w:trPr>
          <w:cantSplit/>
          <w:cantSplit/>
        </w:trPr>
        <w:tc>
          <w:tcPr>
            <w:tcW w:type="dxa" w:w="40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Low impact</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P3 Medium</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P4 Low</w:t>
            </w:r>
          </w:p>
        </w:tc>
        <w:tc>
          <w:tcPr>
            <w:tcW w:type="dxa" w:w="201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P4 Low</w:t>
            </w:r>
          </w:p>
        </w:tc>
      </w:tr>
    </w:tbl>
    <w:p>
      <w:pPr>
        <w:spacing w:before="100"/>
      </w:pPr>
      <w:r>
        <w:t>IT 17  Track separate acknowledgement, qualified human response, restoration, resolution and closure times. An automatic email receipt is not a qualified response. Service requests use fulfilment targets instead of mislabelling fulfilment as incident restoration.</w:t>
      </w:r>
    </w:p>
    <w:p>
      <w:r>
        <w:t>IT 18  Persist SLA policy version, calendar, timezone, deadline and an append-only clock-event ledger. Business calendars include holidays and DST. Store UTC instants and derive business-time consumption using the named timezone; do not add a fixed UTC offset. Wall-clock P1 coverage may differ from business-hour P4 coverage.</w:t>
      </w:r>
    </w:p>
    <w:p>
      <w:r>
        <w:t>IT 19  Pending is not an automatic SLA pause. Only configured reasons pause eligible clocks; awaiting vendor does not pause by default. Every pause/resume requires an event and reason, and reminders run while pending. A group transfer must not reset elapsed time. Priority or policy changes recompute from the ledger and preserve the previous deadline and any breach.</w:t>
      </w:r>
    </w:p>
    <w:p>
      <w:r>
        <w:t>IT 20  Suggested calculation: consumed = sum of calendar-covered active intervals minus approved pause intervals; remaining = target minus consumed. Reopen resumes the agreed resolution clock or starts a separately reported reopen target; never erase the original breach. A breach is immutable history even if the current deadline is extended.</w:t>
      </w:r>
    </w:p>
    <w:p>
      <w:r>
        <w:t>IT 21  Warn at configurable consumption thresholds; escalate to group lead, duty manager and service owner on risk or breach. Record notification receipts and repeat cadence. Support internal OLA and vendor commitments separately from customer SLA. Scheduling jobs must be idempotent and recover after downtime.</w:t>
      </w:r>
    </w:p>
    <w:p>
      <w:pPr>
        <w:pStyle w:val="Heading3"/>
        <w:keepNext/>
      </w:pPr>
      <w:r>
        <w:rPr>
          <w:color w:val="000000"/>
        </w:rPr>
        <w:t>Major incident management</w:t>
      </w:r>
    </w:p>
    <w:p>
      <w:r>
        <w:t>IT 22  Permit a manager to declare a major incident with impact, coordinator, technical lead, communications owner and update cadence. Link child tickets, run a restoration plan and maintain a timeline. Require a post-incident review with actions and problem/change links; children are not closed silently by parent closure.</w:t>
      </w:r>
    </w:p>
    <w:p>
      <w:pPr>
        <w:pStyle w:val="Heading2"/>
        <w:keepNext/>
      </w:pPr>
      <w:r>
        <w:rPr>
          <w:color w:val="000000"/>
        </w:rPr>
        <w:t>Conversations notifications and requester identity</w:t>
      </w:r>
    </w:p>
    <w:p>
      <w:r>
        <w:t>IT 23  A ticket conversation has public requester messages and private operational notes. Store visibility as an enforced field. Outbound messages include only authorised public text and eligible public attachments. Internal notes, security evidence, group membership and unrelated tenant content must never appear in requester mail or portal responses.</w:t>
      </w:r>
    </w:p>
    <w:p>
      <w:r>
        <w:t>IT 24  Use templates for receipt, qualified response, information request, assignment notice, SLA risk, resolution and closure. Optional email acknowledgements include an opaque correlation token and portal link. Recipient selection comes from verified participants, not arbitrary email headers copied to Reply All. Add loop markers and maintain delivery receipts.</w:t>
      </w:r>
    </w:p>
    <w:p>
      <w:r>
        <w:t>IT 25  A mailbox sender is a contact until mapped to a verified identity. Receiving mail does not imply consent to invite them into Entra or permission to inspect other tickets. For external requesters, use existing B2B onboarding and sponsor policy before portal login; no anonymous portal is included.</w:t>
      </w:r>
    </w:p>
    <w:p>
      <w:r>
        <w:t>IT 26  A submitted attachment remains associated with its comment visibility. Moving a private attachment to public requires explicit publication authority and audit; ordinary download availability does not relax visibility. Avoid embedding private attachments as automatically accessible public URLs.</w:t>
      </w:r>
    </w:p>
    <w:p>
      <w:r>
        <w:t>IT 27  When an email references an existing ticket but the sender is not eligible, retain only the permitted intake evidence and route for verification. Do not disclose whether the ticket exists in an automated reply. Closed-ticket replies follow configured reopen/new-linked-ticket policy and cannot silently alter a final record.</w:t>
      </w:r>
    </w:p>
    <w:p>
      <w:pPr>
        <w:pStyle w:val="Heading3"/>
        <w:keepNext/>
      </w:pPr>
      <w:r>
        <w:rPr>
          <w:color w:val="000000"/>
        </w:rPr>
        <w:t>Notification failures and permissions</w:t>
      </w:r>
    </w:p>
    <w:p>
      <w:r>
        <w:t>IT 28  Ticket creation and state changes must commit independently from notification delivery. A failed send appears as a delivery issue, not a failed ticket. The sender must recheck tenant status, recipients and current public visibility before dispatch. Replayed jobs cannot repeat business mutations.</w:t>
      </w:r>
    </w:p>
    <w:p>
      <w:r>
        <w:t>IT 29  Notification design is an implementation requirement only. Enable outbound email only after the customer authorises sending capability and templates in onboarding. Mailbox ingestion can operate read-only with portal receipts until that capability is enabled.</w:t>
      </w:r>
    </w:p>
    <w:p>
      <w:r>
        <w:t>IT 30  Public-comment creation, file-read access (including ordinary download) and requester approvals are separate actions. A request approval is not a privileged infrastructure execution approval. Route actual access/resource changes through the existing M12/M13 authority and separation-of-duties gates.</w:t>
      </w:r>
    </w:p>
    <w:p>
      <w:pPr>
        <w:pStyle w:val="Heading2"/>
        <w:keepNext/>
      </w:pPr>
      <w:r>
        <w:rPr>
          <w:color w:val="000000"/>
        </w:rPr>
        <w:t>Service requests problems changes and knowledge</w:t>
      </w:r>
    </w:p>
    <w:p>
      <w:r>
        <w:t>IT 31  Catalogue lifecycle: Draft, Reviewed, Published, Retired. Version each item with form schema, requester eligibility, service owner, approval rules, fulfilment tasks, target times and completion evidence. Requests follow Submitted, Validation, Pending Approval where required, Approved, In Fulfilment, Fulfilled, Closed; Rejected and Cancelled are explicit outcomes.</w:t>
      </w:r>
    </w:p>
    <w:p>
      <w:r>
        <w:t>IT 32  Approval decisions need approver identity, delegated scope, time, reason and policy version. Support sequential or parallel approvals as explicitly configured. No self-approval for sensitive requests. Material request changes invalidate affected approvals. A rejected request must not dispatch fulfilment.</w:t>
      </w:r>
    </w:p>
    <w:p>
      <w:r>
        <w:t>IT 33  Fulfilment tasks have group/analyst, dependency, status and due time. Request completion requires required tasks and confirmation evidence. A vendor task or approval wait must not disappear from the board. Service requests remain distinct from technical incidents even if both use one UI.</w:t>
      </w:r>
    </w:p>
    <w:p>
      <w:r>
        <w:t>IT 34  Reuse the M14 problem lifecycle defined in this master: New, Triage, Investigating, RootCauseReview, then KnownError or ResolutionPlanned as applicable, FixValidation, Resolved and Closed. Known errors retain reviewed workaround and cause evidence. Link recurring incidents, root-cause findings and prevention actions. Resolving an incident does not close its problem; cancellation and reopening require reasons and authority.</w:t>
      </w:r>
    </w:p>
    <w:p>
      <w:r>
        <w:t>IT 35  Reuse the M13 change lifecycle defined in this master: Draft, Submitted, Assessed, AwaitingApproval, Approved, Scheduled, Implementing, Review and Closed. Rejected, Cancelled, Failed and RolledBack remain explicit outcomes. Standard, Normal and Emergency paths retain risk, service/asset impact, conflict calendar, implementation/rollback plan and post-review. Emergency changes require the authorised path and retrospective review, with no bypass of execution authority.</w:t>
      </w:r>
    </w:p>
    <w:p>
      <w:r>
        <w:t>IT 36  Add controlled knowledge records for known errors, FAQs and restoration steps. Lifecycle: Draft, Reviewed, Published, Retired; capture owner, version, service/category, visibility and review date. Requester search returns only published authorised knowledge. AI suggestions cite current articles and cannot publish or execute them automatically.</w:t>
      </w:r>
    </w:p>
    <w:p>
      <w:r>
        <w:t>IT 37  Reuse M07 agentless assets and maintain a service catalogue with owner, criticality, support group and dependencies. Link tickets to configuration items without deploying a new endpoint agent. Unknown assets remain unresolved references, not invented matches. Document service-impact relationships and audit corrections.</w:t>
      </w:r>
    </w:p>
    <w:p>
      <w:r>
        <w:t>IT 38  Provide incident volume, channel mix, group backlog, assignment transfers, first response, restoration/resolution percentiles, SLA breach, reopen rate, major incidents, fulfilment lead time and customer satisfaction. Executive rollups respect tenant disclosure; technical views retain traceability and data freshness.</w:t>
      </w:r>
    </w:p>
    <w:p>
      <w:pPr>
        <w:pStyle w:val="Heading2"/>
        <w:keepNext/>
      </w:pPr>
      <w:r>
        <w:rPr>
          <w:color w:val="000000"/>
        </w:rPr>
        <w:t>Data contracts and persistence</w:t>
      </w:r>
    </w:p>
    <w:p>
      <w:r>
        <w:t>Keep shared field names and WorkReference links consistent with v5. Suggested entities below are design starting points; aggregate ownership, tenant scope, idempotency and audit outcomes are mandatory.</w:t>
      </w:r>
    </w:p>
    <w:tbl>
      <w:tblPr>
        <w:tblW w:type="auto" w:w="0"/>
        <w:tblLayout w:type="fixed"/>
        <w:tblLook w:firstColumn="1" w:firstRow="1" w:lastColumn="0" w:lastRow="0" w:noHBand="0" w:noVBand="1" w:val="04A0"/>
      </w:tblPr>
      <w:tblGrid>
        <w:gridCol w:w="2448"/>
        <w:gridCol w:w="7632"/>
      </w:tblGrid>
      <w:tr>
        <w:trPr>
          <w:tblHeader/>
          <w:cantSplit/>
          <w:tblHeader/>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Entity</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Minimum responsibilities</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Ticket</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Id/number, tenant, type, source, revision, workflow version, service/asset, category, impact/urgency/priority, state/reason, group/assignee, requester/contact, timestamps and resolution.</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ConversationEntry</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Ticket, author identity/contact, source, public/private, body reference, file references, time and idempotency key.</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SlaInstance and ClockEvent</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Policy/calendar versions, target, consumed time/deadline, event sequence, pause reason, breach history and reopen treatment.</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MailboxConnector</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Tenant binding, directory/mailbox/folders, permission capability, ruleset, cursor references, schedule, health and secret references.</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MailReceipt and MessageLink</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Immutable source ID, Internet Message-ID/reference chain, intake state, command key, rule version, ticket link, retry/lease and error.</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Catalogue and RequestTask</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Versioned item/form/eligibility, approval reference, task dependency, owner, status and fulfilment evidence.</w:t>
            </w:r>
          </w:p>
        </w:tc>
      </w:tr>
      <w:tr>
        <w:trPr>
          <w:cantSplit/>
          <w:cantSplit/>
        </w:trPr>
        <w:tc>
          <w:tcPr>
            <w:tcW w:type="dxa" w:w="2448"/>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Relations and Knowledge</w:t>
            </w:r>
          </w:p>
        </w:tc>
        <w:tc>
          <w:tcPr>
            <w:tcW w:type="dxa" w:w="7632"/>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Typed incident/problem/change/security/service/asset links; article version, audience, publication and review metadata.</w:t>
            </w:r>
          </w:p>
        </w:tc>
      </w:tr>
    </w:tbl>
    <w:p>
      <w:pPr>
        <w:spacing w:before="100"/>
      </w:pPr>
      <w:r>
        <w:t>Use unique indexes for tenant ticket number, command idempotency and tenant/mailbox/immutable-message identity. Use board indexes for tenant/type/state/group/updated time, and due-work indexes for SLA/deadlines. Page results by stable cursor; do not load every ticket into a Blazor circuit.</w:t>
      </w:r>
    </w:p>
    <w:p>
      <w:r>
        <w:t>Operator-trusted stores hold audit, private notes, approvals, permissions, connector secrets/checkpoints and authority-bearing receipts. Customer operational stores hold approved ticket facts according to v5 ownership. Use Intent, customer transaction with proof, and operator Outcome for cross-store writes. Pending or unknown outcomes never count as completed ingestion.</w:t>
      </w:r>
    </w:p>
    <w:p>
      <w:r>
        <w:t>Events include TicketCreated, AssignmentAccepted, StateChanged, PublicCommentAdded, SlaAtRisk, SlaBreached and RequestFulfilled, with tenant, aggregate, revision, occurrence time, correlation and idempotency IDs. Projections and notifications consume confirmed outcomes only. Do not publish a customer-held event as authority before verification.</w:t>
      </w:r>
    </w:p>
    <w:p>
      <w:pPr>
        <w:pStyle w:val="Heading2"/>
        <w:keepNext/>
      </w:pPr>
      <w:r>
        <w:rPr>
          <w:color w:val="000000"/>
        </w:rPr>
        <w:t>API contracts and concurrency</w:t>
      </w:r>
    </w:p>
    <w:p>
      <w:r>
        <w:t>Portal route /t/{code} and external API namespace /api/v1/tenants/{t} both resolve the registered immutable tenant code through the same server-side authorisation boundary. Request content cannot choose a database. Requester endpoints return a restricted DTO, not an analyst object with hidden fields. Shortened route examples below inherit that API namespace.</w:t>
      </w:r>
    </w:p>
    <w:tbl>
      <w:tblPr>
        <w:tblW w:type="auto" w:w="0"/>
        <w:tblLayout w:type="fixed"/>
        <w:tblLook w:firstColumn="1" w:firstRow="1" w:lastColumn="0" w:lastRow="0" w:noHBand="0" w:noVBand="1" w:val="04A0"/>
      </w:tblPr>
      <w:tblGrid>
        <w:gridCol w:w="4104"/>
        <w:gridCol w:w="5976"/>
      </w:tblGrid>
      <w:tr>
        <w:trPr>
          <w:tblHeader/>
          <w:cantSplit/>
          <w:tblHeade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Route</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Contract and enforcement</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POST /api/v1/tenants/{t}/tickets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incident/request. Body: type, title, description, serviceId, impact, urgency, attachmentRefs, clientRequestId. Return 201 ticketId/number/revision; approval/priority/routing remain server-owned.</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GET /api/v1/tenants/{t}/my-tickets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Own/delegated tickets only; filters and counts scoped before pagination.</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GET /api/v1/tenants/{t}/tickets/{id}</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Return requester or analyst projection according to authorisation.</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POST .../tickets/{id}/transitions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Body: targetState, reason, resolution fields, expectedRevision. Validate workflow and ownership; 409 for stale revision.</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POST .../tickets/{id}/assignments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Body: groupId, optional assigneeId, reason, expectedRevision. Verify group eligibility and M09 proposal where used.</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POST .../tickets/{id}/comments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Body: text, visibility, fileRefs, clientRequestId. Requesters cannot create private operational notes or publish private files.</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POST .../mailbox-connectors/{id}/rule-tests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Authorised dry-run; return matched rule and proposed action, without creating or sending.</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POST .../mailbox-connectors/{id}/replays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Scoped replay with reason and audit; reuse receipt idempotency, no historical mass-create by default.</w:t>
            </w:r>
          </w:p>
        </w:tc>
      </w:tr>
      <w:tr>
        <w:trPr>
          <w:cantSplit/>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GET .../files/{id}/versions/{v}/download</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Ordinary file-read authorisation, scan/custody and visibility checks; no download-grant lookup.</w:t>
            </w:r>
          </w:p>
        </w:tc>
      </w:tr>
    </w:tbl>
    <w:p>
      <w:pPr>
        <w:spacing w:before="100"/>
      </w:pPr>
      <w:r>
        <w:t>Example result: {"ticketId":"opaque-id","number":"INC-000123","type":"Incident","state":"New","assignmentGroupId":"cloud-ops","revision":1}. Ticket numbers are references, not bearer secrets. Validate all IDs against the current tenant.</w:t>
      </w:r>
    </w:p>
    <w:p>
      <w:r>
        <w:t>Use 401 unauthenticated, 403 or consistently concealed 404 denied, 409 concurrency, 413 size, 415 unsupported format, 422 workflow validation and 429 throttling. Commands carry idempotency keys and correlation IDs. No raw email, secret or private note appears in error text.</w:t>
      </w:r>
    </w:p>
    <w:p>
      <w:pPr>
        <w:pStyle w:val="Heading2"/>
        <w:keepNext/>
      </w:pPr>
      <w:r>
        <w:rPr>
          <w:color w:val="000000"/>
        </w:rPr>
        <w:t>UAM roles security and operational controls</w:t>
      </w:r>
    </w:p>
    <w:p>
      <w:r>
        <w:t>Extend the existing Permission Manager matrix rather than introducing an independent policy engine. Preserve v5 role ceilings, role-scoped deny semantics, subject-wide denials, tenant overrides and no platform-admin content bypass. Entra group/app-role assignments remain separate from resource permissions.</w:t>
      </w:r>
    </w:p>
    <w:tbl>
      <w:tblPr>
        <w:tblW w:type="auto" w:w="0"/>
        <w:tblLayout w:type="fixed"/>
        <w:tblLook w:firstColumn="1" w:firstRow="1" w:lastColumn="0" w:lastRow="0" w:noHBand="0" w:noVBand="1" w:val="04A0"/>
      </w:tblPr>
      <w:tblGrid>
        <w:gridCol w:w="3024"/>
        <w:gridCol w:w="7056"/>
      </w:tblGrid>
      <w:tr>
        <w:trPr>
          <w:tblHeader/>
          <w:cantSplit/>
          <w:tblHeader/>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Role contribution</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Permitted scope and restriction</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Customer.Requester</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Create own tickets, public replies, eligible attachments, read own/delegated records and request reopen; no internal notes.</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Customer.ITSMApprover</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Act on explicitly delegated request approvals; no general analyst access.</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ITSM.ServiceDesk and Resolver</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Triage/work assigned service/group tickets; public replies and private notes within resource scope.</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ITSM.GroupLead</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Group queues, assignment, escalation and controlled overrides with reasons.</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ITSM.IncidentManager</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Major-incident coordination, reviewed closure and controlled reopen.</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ITSM.ServiceOwner</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Service policies, catalogue accountability and scoped reporting; no automatic security access.</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Problem.Manager and Change.Manager</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Contribute existing M14/M13 permissions, with independent approvals.</w:t>
            </w:r>
          </w:p>
        </w:tc>
      </w:tr>
      <w:tr>
        <w:trPr>
          <w:cantSplit/>
          <w:cantSplit/>
        </w:trPr>
        <w:tc>
          <w:tcPr>
            <w:tcW w:type="dxa" w:w="302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ITSM.ConfigurationAdmin</w:t>
            </w:r>
          </w:p>
        </w:tc>
        <w:tc>
          <w:tcPr>
            <w:tcW w:type="dxa" w:w="70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Workflow, rules, SLA and connector configuration; no implicit file or message-body read.</w:t>
            </w:r>
          </w:p>
        </w:tc>
      </w:tr>
    </w:tbl>
    <w:p>
      <w:pPr>
        <w:spacing w:before="100"/>
      </w:pPr>
      <w:r>
        <w:t>Permission examples: itsm.ticket.create/read/triage/assign/transition, itsm.comment.public/private, itsm.major.manage, itsm.request.approve, itsm.catalogue.publish, itsm.sla.manage, mailbox.configure/rules.publish/replay. Requester grants include subject ownership conditions. A group assignment does not satisfy an unrelated permission.</w:t>
      </w:r>
    </w:p>
    <w:p>
      <w:r>
        <w:t>Protect email and portal input against injection, XSS, oversized payloads, unsafe attachments and prompt injection. Enforce quotas, anti-forgery where applicable, SSRF-resistant external fetch rules, audit and secret rotation. Do not use incoming email text as a tool instruction.</w:t>
      </w:r>
    </w:p>
    <w:p>
      <w:r>
        <w:t>Expose connector lag, last delta success, subscription expiry, oldest receipt, retries/dead letters, ticket-create failures, unmatched counts, public/private violations, SLA job lag and queue depth. Apply tenant status Active/ReadOnly/Suspended/Quarantined consistently. Disaster recovery replays idempotently from verified checkpoints; record gaps and unknown outcomes.</w:t>
      </w:r>
    </w:p>
    <w:p>
      <w:pPr>
        <w:pStyle w:val="Heading2"/>
        <w:keepNext/>
      </w:pPr>
      <w:r>
        <w:rPr>
          <w:color w:val="000000"/>
        </w:rPr>
        <w:t>Request task lifecycle and requester satisfaction</w:t>
      </w:r>
    </w:p>
    <w:p>
      <w:r>
        <w:t>Fulfilment tasks use New, Assigned, In Progress, Blocked, Completed and Cancelled, with owner group, optional analyst, dependency, due time, reason and evidence. A blocked or cancelled required task cannot satisfy completion without a recorded authorised waiver. Dependencies form an acyclic plan and task retries do not repeat completed infrastructure actions.</w:t>
      </w:r>
    </w:p>
    <w:p>
      <w:r>
        <w:t>Offer an optional post-closure satisfaction survey to an authenticated eligible requester, with rating, optional comment, ticket reference and response time. Record one active response per requester/ticket, allow a controlled amendment, and separate satisfaction from SLA compliance. Survey collection follows tenant privacy and notification settings; no reply is interpreted as satisfaction.</w:t>
      </w:r>
    </w:p>
    <w:p>
      <w:bookmarkStart w:id="59" w:name="orca_ch_059"/>
      <w:pPr>
        <w:pStyle w:val="Tenant_Heading1"/>
      </w:pPr>
      <w:r>
        <w:t>M21 ITSM incidents and service requests settings</w:t>
      </w:r>
      <w:bookmarkEnd w:id="59"/>
    </w:p>
    <w:p>
      <w:r>
        <w:t>ECFG M21 | Required dependencies: M01 M02; optional M03 M09 M13 M14 M16.</w:t>
      </w:r>
    </w:p>
    <w:p>
      <w:r>
        <w:t>Permission boundary: itsm configuration, catalogue/SLA/knowledge publication and ticket permissions remain distinct.</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ticketTypeRefs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Technical incident/service request profiles; suspected security reports are triaged before M04 creation/link.</w:t>
            </w:r>
          </w:p>
        </w:tc>
      </w:tr>
      <w:tr>
        <w:trPr>
          <w:cantSplit/>
        </w:trPr>
        <w:tc>
          <w:tcPr>
            <w:tcW w:type="dxa" w:w="2448"/>
          </w:tcPr>
          <w:p>
            <w:pPr>
              <w:spacing w:after="60" w:before="40" w:line="240" w:lineRule="auto"/>
            </w:pPr>
            <w:r>
              <w:rPr>
                <w:sz w:val="18"/>
              </w:rPr>
              <w:t>workflowRef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Versioned transitions, expectedRevision, priority derivation and approval prerequisites.</w:t>
            </w:r>
          </w:p>
        </w:tc>
      </w:tr>
      <w:tr>
        <w:trPr>
          <w:cantSplit/>
        </w:trPr>
        <w:tc>
          <w:tcPr>
            <w:tcW w:type="dxa" w:w="2448"/>
          </w:tcPr>
          <w:p>
            <w:pPr>
              <w:spacing w:after="60" w:before="40" w:line="240" w:lineRule="auto"/>
            </w:pPr>
            <w:r>
              <w:rPr>
                <w:sz w:val="18"/>
              </w:rPr>
              <w:t>resolverGroupRefs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Shared group eligibility registry with basic fallback independent of M09 shifts.</w:t>
            </w:r>
          </w:p>
        </w:tc>
      </w:tr>
      <w:tr>
        <w:trPr>
          <w:cantSplit/>
        </w:trPr>
        <w:tc>
          <w:tcPr>
            <w:tcW w:type="dxa" w:w="2448"/>
          </w:tcPr>
          <w:p>
            <w:pPr>
              <w:spacing w:after="60" w:before="40" w:line="240" w:lineRule="auto"/>
            </w:pPr>
            <w:r>
              <w:rPr>
                <w:sz w:val="18"/>
              </w:rPr>
              <w:t>slaOlaPolicyRefs</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Calendars, time zones, pause/reopen rules and targets; authoritative event ledger remains operator-held.</w:t>
            </w:r>
          </w:p>
        </w:tc>
      </w:tr>
      <w:tr>
        <w:trPr>
          <w:cantSplit/>
        </w:trPr>
        <w:tc>
          <w:tcPr>
            <w:tcW w:type="dxa" w:w="2448"/>
          </w:tcPr>
          <w:p>
            <w:pPr>
              <w:spacing w:after="60" w:before="40" w:line="240" w:lineRule="auto"/>
            </w:pPr>
            <w:r>
              <w:rPr>
                <w:sz w:val="18"/>
              </w:rPr>
              <w:t>cataloguePublicationRef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Eligibility/forms, approval and fulfilment plan versions; raw customer DB edits cannot grant approval.</w:t>
            </w:r>
          </w:p>
        </w:tc>
      </w:tr>
      <w:tr>
        <w:trPr>
          <w:cantSplit/>
        </w:trPr>
        <w:tc>
          <w:tcPr>
            <w:tcW w:type="dxa" w:w="2448"/>
          </w:tcPr>
          <w:p>
            <w:pPr>
              <w:spacing w:after="60" w:before="40" w:line="240" w:lineRule="auto"/>
            </w:pPr>
            <w:r>
              <w:rPr>
                <w:sz w:val="18"/>
              </w:rPr>
              <w:t>knowledgePolicyRef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Draft/review/published audience and expiry; public versus private content separated before projection.</w:t>
            </w:r>
          </w:p>
        </w:tc>
      </w:tr>
      <w:tr>
        <w:trPr>
          <w:cantSplit/>
        </w:trPr>
        <w:tc>
          <w:tcPr>
            <w:tcW w:type="dxa" w:w="2448"/>
          </w:tcPr>
          <w:p>
            <w:pPr>
              <w:spacing w:after="60" w:before="40" w:line="240" w:lineRule="auto"/>
            </w:pPr>
            <w:r>
              <w:rPr>
                <w:sz w:val="18"/>
              </w:rPr>
              <w:t>majorIncidentPolicyRef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Declaration, coordinator/comms roles, cadence and post-incident review.</w:t>
            </w:r>
          </w:p>
        </w:tc>
      </w:tr>
      <w:tr>
        <w:trPr>
          <w:cantSplit/>
        </w:trPr>
        <w:tc>
          <w:tcPr>
            <w:tcW w:type="dxa" w:w="2448"/>
          </w:tcPr>
          <w:p>
            <w:pPr>
              <w:spacing w:after="60" w:before="40" w:line="240" w:lineRule="auto"/>
            </w:pPr>
            <w:r>
              <w:rPr>
                <w:sz w:val="18"/>
              </w:rPr>
              <w:t>conversationPolicyRef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Public messages customer-side, private notes operator-side; attachments inherit explicit scope and scan rules.</w:t>
            </w:r>
          </w:p>
        </w:tc>
      </w:tr>
    </w:tbl>
    <w:p>
      <w:pPr>
        <w:pStyle w:val="Tenant_Heading2"/>
      </w:pPr>
      <w:r>
        <w:t>Lifecycle and integration</w:t>
      </w:r>
    </w:p>
    <w:p>
      <w:r>
        <w:t>Q8 storage split remains: committed tickets/tasks/public history customer-held, trusted approvals/SLA ledger/receipts/private notes operator-held. Off retains all under custody policy.</w:t>
      </w:r>
    </w:p>
    <w:p>
      <w:pPr>
        <w:pStyle w:val="Tenant_Heading2"/>
      </w:pPr>
      <w:r>
        <w:t>Engine acceptance scenario</w:t>
      </w:r>
    </w:p>
    <w:p>
      <w:r>
        <w:t>ECFG M21 AC: Test private note leakage, missing independent request approval, SLA calendar/DST, M09 absent fallback and M21 Off blocked while M22/M23 stay On.</w:t>
      </w:r>
    </w:p>
    <w:p>
      <w:r>
        <w:t>All common TSET/NAV gates apply. Values and references are server-validated in the selected tenant; generic settings edits never replace the owning engine’s publication or approval workflow.</w:t>
      </w:r>
    </w:p>
    <w:p>
      <w:bookmarkStart w:id="60" w:name="orca_ch_060"/>
      <w:pPr>
        <w:pStyle w:val="Heading1"/>
        <w:keepNext/>
        <w:pageBreakBefore w:val="0"/>
      </w:pPr>
      <w:r>
        <w:rPr>
          <w:color w:val="000000"/>
        </w:rPr>
        <w:t>M22 Mailbox to ticket connector engine</w:t>
      </w:r>
      <w:bookmarkEnd w:id="60"/>
    </w:p>
    <w:p>
      <w:r>
        <w:t>Required dependencies: M01, M02 and M21; optional M03 for attachments and M16 for enabled outbound notifications. The connector emits ticket commands through an internal port; it never writes M21 collections or chooses its own tenant authority.</w:t>
      </w:r>
    </w:p>
    <w:p>
      <w:pPr>
        <w:pStyle w:val="Heading2"/>
        <w:keepNext/>
      </w:pPr>
      <w:r>
        <w:rPr>
          <w:color w:val="000000"/>
        </w:rPr>
        <w:t>Mailbox connector and Microsoft integration</w:t>
      </w:r>
    </w:p>
    <w:p>
      <w:r>
        <w:t>MAIL 01  Deliver Microsoft 365/Exchange Online ingestion first through Microsoft Graph v1.0, including configured shared mailboxes/folders. Keep a provider interface for later IMAP or other services; do not assume they are available in the first release. Bind each connector and mailbox to one trusted Orca tenant.</w:t>
      </w:r>
    </w:p>
    <w:p>
      <w:r>
        <w:t>MAIL 02  Configure mailbox identity, folder IDs, service/group defaults, enabled rules, schedule, initial import policy, retry limits, attachment policy and optional outbound notifications. Secrets stay in Key Vault. Use unattended application access scoped to authorised mailboxes; Mail.ReadBasic is insufficient for body and attachments. Shared-folder notifications need application permissions rather than Mail.Read.Shared [R1, R5].</w:t>
      </w:r>
    </w:p>
    <w:p>
      <w:r>
        <w:t>MAIL 03  Choose scheduled per-folder delta ingestion as the baseline, with optional change notifications for faster wake-up. Delta pagination is folder-scoped and does not support subject contains searches; evaluate subject rules inside Orca. Save opaque next/delta links only after durable receipt of page items, not after a transient fetch [R2].</w:t>
      </w:r>
    </w:p>
    <w:p>
      <w:r>
        <w:t>MAIL 04  If webhooks are enabled, validate the subscription challenge within 10 seconds, verify clientState/subscription binding, durably queue and return promptly; Microsoft recommends 202 within 3 seconds for asynchronous processing. Renew subscriptions and reconcile gaps through delta; notifications alone are not a reliable complete feed [R1, R3].</w:t>
      </w:r>
    </w:p>
    <w:p>
      <w:r>
        <w:t>MAIL 05  Scope read access with Exchange Application RBAC or another currently supported mailbox restriction. RBAC grants and Entra grants are additive, so a broad Entra Mail.Read grant can defeat an intended narrow RBAC scope. Test out-of-scope denial in the target tenant [R5].</w:t>
      </w:r>
    </w:p>
    <w:p>
      <w:r>
        <w:t>MAIL 06  Preserve v5 Read/Respond isolation. Ingestion credentials are read-only. Optional sending uses separately consented Mail.Send through the approved execution/notification boundary; marking read or moving messages requires an explicit Mail.ReadWrite capability and is disabled by default. No email is sent as part of preparing these requirements.</w:t>
      </w:r>
    </w:p>
    <w:p>
      <w:r>
        <w:t>Assumption for development: one Microsoft shared mailbox per connector, mailbox read-only, metadata/body intake, no historical ticket import without a selected start policy. Confirm mailboxes, polling cadence, expected volume and rules during onboarding.</w:t>
      </w:r>
    </w:p>
    <w:p>
      <w:pPr>
        <w:pStyle w:val="Heading2"/>
        <w:keepNext/>
      </w:pPr>
      <w:r>
        <w:rPr>
          <w:color w:val="000000"/>
        </w:rPr>
        <w:t>Mailbox rules and ticket creation</w:t>
      </w:r>
    </w:p>
    <w:p>
      <w:r>
        <w:t>MAIL 07  Provide a versioned Radzen rule builder with preview/dry-run and approval-to-publish. Predicates include mailbox/folder, subject equals/contains/prefix, optional bounded regular expression, sender/recipient allowlist, selected headers and body terms. Support explicit ALL/ANY groups, exclusions, ordering and stop-on-match.</w:t>
      </w:r>
    </w:p>
    <w:p>
      <w:r>
        <w:t>MAIL 08  Example proposal: approved monitoring sender to support mailbox, subject contains [INCIDENT] and does not contain [TEST] → create ITSM Incident, service Azure Production, category Availability, group Cloud Operations. Portal submissions can use the same service mapping. A [REQUEST] rule routes to Service Request only where required catalogue fields can be satisfied.</w:t>
      </w:r>
    </w:p>
    <w:p>
      <w:r>
        <w:t>MAIL 09  Normalise Unicode and whitespace for matching, compare case-insensitively where configured, and bound regex duration and input length. Preserve the original subject. Strip RE/FW only for secondary matching; do not discard prefixes before trusted-ticket correlation. Save matched rule ID/version and extracted field evidence.</w:t>
      </w:r>
    </w:p>
    <w:p>
      <w:r>
        <w:t>MAIL 10  Resolve tenancy from the connector registry, never a subject token, sender domain alone or user-entered customer name. Map service, category and priority only to allowed values. Sender display names and claimed urgency are untrusted. Authenticated transport/spam verdicts from the mail environment can inform trust; domain strings alone do not prove sender identity.</w:t>
      </w:r>
    </w:p>
    <w:p>
      <w:r>
        <w:t>MAIL 11  Apply this decision order: ignore loop/bounce/forbidden source; deduplicate exact message; validate an existing-ticket correlation and sender authority; evaluate creation rules; create one ticket through M21; otherwise record ignored or route to a monitored exception queue. First-match creation is the default. Multiple tasks are allowed; multiple tickets per message need explicit configuration.</w:t>
      </w:r>
    </w:p>
    <w:p>
      <w:r>
        <w:t>MAIL 12  The created ticket captures source, received time, original subject, safe description, requester/contact mapping, service/category, impact/urgency, group and message provenance. Unknown external senders may be held for triage according to policy; mail does not create a portal account, tenant membership or UAM role.</w:t>
      </w:r>
    </w:p>
    <w:p>
      <w:r>
        <w:t>MAIL 13  Strip active HTML, remote images, tracking content and executable URLs from display. Preserve a permitted original MIME reference separately. Put each attachment through M03 scanning and visibility rules; a bad attachment must not prevent a safely created ticket from showing a blocked-attachment warning.</w:t>
      </w:r>
    </w:p>
    <w:p>
      <w:pPr>
        <w:pStyle w:val="Heading2"/>
        <w:keepNext/>
      </w:pPr>
      <w:r>
        <w:rPr>
          <w:color w:val="000000"/>
        </w:rPr>
        <w:t>Reliable intake deduplication and threading</w:t>
      </w:r>
    </w:p>
    <w:p>
      <w:r>
        <w:t>MAIL 14  Expect at-least-once delivery and reordered notifications. Request Outlook immutable IDs consistently, including subscription creation where used; they remain stable for moves within the same mailbox, not moves into an archive mailbox or export/reimport [R4]. Do not rely on read/unread state as a processing marker.</w:t>
      </w:r>
    </w:p>
    <w:p>
      <w:r>
        <w:t>MAIL 15  Enforce a unique receipt key (tenantId, mailboxId, immutableMessageId). Include connector ownership so two configurations for the same tenant/mailbox cannot create duplicate tickets; reject overlapping folder ownership or share a receipt namespace. Internet Message-ID, content hash and trusted monitoring event ID are secondary correlation signals, not universal unique keys.</w:t>
      </w:r>
    </w:p>
    <w:p>
      <w:r>
        <w:t>MAIL 16  Persist IntakeReceipt with Pending/Processing/Applied/Ignored/Held/Failed, attempt count, lease, rule version, ticket ID and failure reason. Use a deterministic command idempotency key. Create/update ticket and its command receipt atomically within the owning store; reconcile cross-store outcomes using the existing operator Intent/Outcome pattern. No distributed exactly-once claim is made.</w:t>
      </w:r>
    </w:p>
    <w:p>
      <w:r>
        <w:t>MAIL 17  Advance a page cursor only after every item has durable handling intent, including failures queued for retry. A crash after ticket creation before receipt completion must recover by querying the idempotency result. Respect Retry-After for throttling, use jittered retry, a dead-letter queue, replay tools and per-tenant fairness.</w:t>
      </w:r>
    </w:p>
    <w:p>
      <w:r>
        <w:t>MAIL 18  Correlate replies using a stored message/reference chain plus an opaque ticket token. A visible ticket number alone is not sufficient authority. Check sender participation or verified requester mapping before appending a public comment. Conversation ID and matching subject are hints only; ambiguous or cross-tenant replies go to manual triage.</w:t>
      </w:r>
    </w:p>
    <w:p>
      <w:r>
        <w:t>MAIL 19  Do not automatically merge separate alerts merely because their subjects match. Optional monitoring correlation uses an authenticated source/event key with a bounded window and explicit recovery rules. Track recurrence count and raw evidence; a delayed recovery email must not resolve a newer incident.</w:t>
      </w:r>
    </w:p>
    <w:p>
      <w:r>
        <w:t>MAIL 20  Suppress automated replies, delivery failures, own outbound messages and known loop headers; rate-limit creation per sender/mailbox. Delta token expiry, subscription loss, moved folders and disabled consent raise health alerts and trigger a bounded rebaseline with deduplication. Record any unrecoverable retention gap; do not report complete intake without evidence.</w:t>
      </w:r>
    </w:p>
    <w:p>
      <w:bookmarkStart w:id="61" w:name="orca_ch_061"/>
      <w:pPr>
        <w:pStyle w:val="Tenant_Heading1"/>
      </w:pPr>
      <w:r>
        <w:t>M22 Mailbox to ticket connectors settings</w:t>
      </w:r>
      <w:bookmarkEnd w:id="61"/>
    </w:p>
    <w:p>
      <w:r>
        <w:t>ECFG M22 | Required dependencies: M01 M02 M21; M03 for attachment handling.</w:t>
      </w:r>
    </w:p>
    <w:p>
      <w:r>
        <w:t>Permission boundary: mailbox.configure/rules.read/draft/publish/rule.test/replay/health.read; message bodies separately authorised.</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mailboxScopes</w:t>
            </w:r>
          </w:p>
        </w:tc>
        <w:tc>
          <w:tcPr>
            <w:tcW w:type="dxa" w:w="2016"/>
          </w:tcPr>
          <w:p>
            <w:pPr>
              <w:spacing w:after="60" w:before="40" w:line="240" w:lineRule="auto"/>
            </w:pPr>
            <w:r>
              <w:rPr>
                <w:sz w:val="18"/>
              </w:rPr>
              <w:t>Scope[]; unset</w:t>
            </w:r>
          </w:p>
        </w:tc>
        <w:tc>
          <w:tcPr>
            <w:tcW w:type="dxa" w:w="5400"/>
          </w:tcPr>
          <w:p>
            <w:pPr>
              <w:spacing w:after="60" w:before="40" w:line="240" w:lineRule="auto"/>
            </w:pPr>
            <w:r>
              <w:rPr>
                <w:sz w:val="18"/>
              </w:rPr>
              <w:t>Approved directory/mailbox/folders and application access scope; no arbitrary mailbox override.</w:t>
            </w:r>
          </w:p>
        </w:tc>
      </w:tr>
      <w:tr>
        <w:trPr>
          <w:cantSplit/>
        </w:trPr>
        <w:tc>
          <w:tcPr>
            <w:tcW w:type="dxa" w:w="2448"/>
          </w:tcPr>
          <w:p>
            <w:pPr>
              <w:spacing w:after="60" w:before="40" w:line="240" w:lineRule="auto"/>
            </w:pPr>
            <w:r>
              <w:rPr>
                <w:sz w:val="18"/>
              </w:rPr>
              <w:t>readConnectionRef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Read-only consent baseline; Mail.Send/ReadWrite not implied.</w:t>
            </w:r>
          </w:p>
        </w:tc>
      </w:tr>
      <w:tr>
        <w:trPr>
          <w:cantSplit/>
        </w:trPr>
        <w:tc>
          <w:tcPr>
            <w:tcW w:type="dxa" w:w="2448"/>
          </w:tcPr>
          <w:p>
            <w:pPr>
              <w:spacing w:after="60" w:before="40" w:line="240" w:lineRule="auto"/>
            </w:pPr>
            <w:r>
              <w:rPr>
                <w:sz w:val="18"/>
              </w:rPr>
              <w:t>rulesetRef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Pinned reviewed deterministic rules, bounded expressions, dry-run and independent publication.</w:t>
            </w:r>
          </w:p>
        </w:tc>
      </w:tr>
      <w:tr>
        <w:trPr>
          <w:cantSplit/>
        </w:trPr>
        <w:tc>
          <w:tcPr>
            <w:tcW w:type="dxa" w:w="2448"/>
          </w:tcPr>
          <w:p>
            <w:pPr>
              <w:spacing w:after="60" w:before="40" w:line="240" w:lineRule="auto"/>
            </w:pPr>
            <w:r>
              <w:rPr>
                <w:sz w:val="18"/>
              </w:rPr>
              <w:t>threadingPolicyRef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Opaque token plus sender validation, loop/bounce protection and safe correlation.</w:t>
            </w:r>
          </w:p>
        </w:tc>
      </w:tr>
      <w:tr>
        <w:trPr>
          <w:cantSplit/>
        </w:trPr>
        <w:tc>
          <w:tcPr>
            <w:tcW w:type="dxa" w:w="2448"/>
          </w:tcPr>
          <w:p>
            <w:pPr>
              <w:spacing w:after="60" w:before="40" w:line="240" w:lineRule="auto"/>
            </w:pPr>
            <w:r>
              <w:rPr>
                <w:sz w:val="18"/>
              </w:rPr>
              <w:t>attachmentHandling</w:t>
            </w:r>
          </w:p>
        </w:tc>
        <w:tc>
          <w:tcPr>
            <w:tcW w:type="dxa" w:w="2016"/>
          </w:tcPr>
          <w:p>
            <w:pPr>
              <w:spacing w:after="60" w:before="40" w:line="240" w:lineRule="auto"/>
            </w:pPr>
            <w:r>
              <w:rPr>
                <w:sz w:val="18"/>
              </w:rPr>
              <w:t>enum; Off</w:t>
            </w:r>
          </w:p>
        </w:tc>
        <w:tc>
          <w:tcPr>
            <w:tcW w:type="dxa" w:w="5400"/>
          </w:tcPr>
          <w:p>
            <w:pPr>
              <w:spacing w:after="60" w:before="40" w:line="240" w:lineRule="auto"/>
            </w:pPr>
            <w:r>
              <w:rPr>
                <w:sz w:val="18"/>
              </w:rPr>
              <w:t>Off or ApprovedM03; enabling requires File Store, scan/custody and bounded file profiles.</w:t>
            </w:r>
          </w:p>
        </w:tc>
      </w:tr>
      <w:tr>
        <w:trPr>
          <w:cantSplit/>
        </w:trPr>
        <w:tc>
          <w:tcPr>
            <w:tcW w:type="dxa" w:w="2448"/>
          </w:tcPr>
          <w:p>
            <w:pPr>
              <w:spacing w:after="60" w:before="40" w:line="240" w:lineRule="auto"/>
            </w:pPr>
            <w:r>
              <w:rPr>
                <w:sz w:val="18"/>
              </w:rPr>
              <w:t>replayPolicyRef</w:t>
            </w:r>
          </w:p>
        </w:tc>
        <w:tc>
          <w:tcPr>
            <w:tcW w:type="dxa" w:w="2016"/>
          </w:tcPr>
          <w:p>
            <w:pPr>
              <w:spacing w:after="60" w:before="40" w:line="240" w:lineRule="auto"/>
            </w:pPr>
            <w:r>
              <w:rPr>
                <w:sz w:val="18"/>
              </w:rPr>
              <w:t>PolicyRef; inherit</w:t>
            </w:r>
          </w:p>
        </w:tc>
        <w:tc>
          <w:tcPr>
            <w:tcW w:type="dxa" w:w="5400"/>
          </w:tcPr>
          <w:p>
            <w:pPr>
              <w:spacing w:after="60" w:before="40" w:line="240" w:lineRule="auto"/>
            </w:pPr>
            <w:r>
              <w:rPr>
                <w:sz w:val="18"/>
              </w:rPr>
              <w:t>Tenant/mailbox/message idempotency receipts, held/dead-letter review and bounded catch-up.</w:t>
            </w:r>
          </w:p>
        </w:tc>
      </w:tr>
      <w:tr>
        <w:trPr>
          <w:cantSplit/>
        </w:trPr>
        <w:tc>
          <w:tcPr>
            <w:tcW w:type="dxa" w:w="2448"/>
          </w:tcPr>
          <w:p>
            <w:pPr>
              <w:spacing w:after="60" w:before="40" w:line="240" w:lineRule="auto"/>
            </w:pPr>
            <w:r>
              <w:rPr>
                <w:sz w:val="18"/>
              </w:rPr>
              <w:t>webhookPolicyRef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Optional only for supported source resource; polling/delta baseline remains explicit.</w:t>
            </w:r>
          </w:p>
        </w:tc>
      </w:tr>
      <w:tr>
        <w:trPr>
          <w:cantSplit/>
        </w:trPr>
        <w:tc>
          <w:tcPr>
            <w:tcW w:type="dxa" w:w="2448"/>
          </w:tcPr>
          <w:p>
            <w:pPr>
              <w:spacing w:after="60" w:before="40" w:line="240" w:lineRule="auto"/>
            </w:pPr>
            <w:r>
              <w:rPr>
                <w:sz w:val="18"/>
              </w:rPr>
              <w:t>outboundEnabled</w:t>
            </w:r>
          </w:p>
        </w:tc>
        <w:tc>
          <w:tcPr>
            <w:tcW w:type="dxa" w:w="2016"/>
          </w:tcPr>
          <w:p>
            <w:pPr>
              <w:spacing w:after="60" w:before="40" w:line="240" w:lineRule="auto"/>
            </w:pPr>
            <w:r>
              <w:rPr>
                <w:sz w:val="18"/>
              </w:rPr>
              <w:t>bool; Off</w:t>
            </w:r>
          </w:p>
        </w:tc>
        <w:tc>
          <w:tcPr>
            <w:tcW w:type="dxa" w:w="5400"/>
          </w:tcPr>
          <w:p>
            <w:pPr>
              <w:spacing w:after="60" w:before="40" w:line="240" w:lineRule="auto"/>
            </w:pPr>
            <w:r>
              <w:rPr>
                <w:sz w:val="18"/>
              </w:rPr>
              <w:t>Separate supported adapter/consent/permissions, recipients and audit; enabling intake never sends mail.</w:t>
            </w:r>
          </w:p>
        </w:tc>
      </w:tr>
    </w:tbl>
    <w:p>
      <w:pPr>
        <w:pStyle w:val="Tenant_Heading2"/>
      </w:pPr>
      <w:r>
        <w:t>Lifecycle and integration</w:t>
      </w:r>
    </w:p>
    <w:p>
      <w:r>
        <w:t>Retain per-folder delta/checkpoints and intake receipts when Off. A catch-up after re-enable must not create a second ticket or publish a spoofed reply.</w:t>
      </w:r>
    </w:p>
    <w:p>
      <w:pPr>
        <w:pStyle w:val="Tenant_Heading2"/>
      </w:pPr>
      <w:r>
        <w:t>Engine acceptance scenario</w:t>
      </w:r>
    </w:p>
    <w:p>
      <w:r>
        <w:t>ECFG M22 AC: Test same message replay, two mailboxes, spoofed thread token, scope loss, incomplete attachment scan and Off→On catch-up idempotency.</w:t>
      </w:r>
    </w:p>
    <w:p>
      <w:r>
        <w:t>All common TSET/NAV gates apply. Values and references are server-validated in the selected tenant; generic settings edits never replace the owning engine’s publication or approval workflow.</w:t>
      </w:r>
    </w:p>
    <w:p>
      <w:bookmarkStart w:id="62" w:name="orca_ch_062"/>
      <w:pPr>
        <w:pStyle w:val="Heading1"/>
        <w:keepNext/>
        <w:pageBreakBefore/>
      </w:pPr>
      <w:r>
        <w:rPr>
          <w:color w:val="000000"/>
        </w:rPr>
        <w:t>M23 Requester portal engine</w:t>
      </w:r>
      <w:bookmarkEnd w:id="62"/>
    </w:p>
    <w:p>
      <w:r>
        <w:t>Required dependencies: M01, M02 and M21. Reuse M03 for attachments, M16 for configured notifications and catalogue/knowledge providers when installed. The requester portal is a distinct surface over the same M21 records, not a second ticketing system.</w:t>
      </w:r>
    </w:p>
    <w:p>
      <w:pPr>
        <w:pStyle w:val="Heading2"/>
        <w:keepNext/>
      </w:pPr>
      <w:r>
        <w:rPr>
          <w:color w:val="000000"/>
        </w:rPr>
        <w:t>Requester portal and self service</w:t>
      </w:r>
    </w:p>
    <w:p>
      <w:r>
        <w:t>RP 01  Provide a requester portal with Entra SSO using the operator environment identity model. Customer requesters use B2B guest accounts with customer/requester roles; do not introduce anonymous submission or treat a customer-issued token as an operator token. Tenant membership resolves from trusted registry/membership, never a submitted tenant field.</w:t>
      </w:r>
    </w:p>
    <w:p>
      <w:r>
        <w:t>RP 02  Show Raise an Incident, Request a Service, My Tickets, Approvals where eligible, and published Knowledge. A form captures title, description, affected service, optional asset, category, business impact, urgency, location/contact method and attachments. The server determines effective priority and entitlement; a requester cannot force a privileged group, P1 or approval.</w:t>
      </w:r>
    </w:p>
    <w:p>
      <w:r>
        <w:t>RP 03  After submission show the same canonical ticket number used on the analyst board, with status, public history, permitted attachments, support group label, public resolution and next action. Allow public replies, requested information, resolution acceptance/rejection and cancellation requests. Reopen within the configured window; after final closure use a linked new ticket or manager-controlled reopen.</w:t>
      </w:r>
    </w:p>
    <w:p>
      <w:r>
        <w:t>RP 04  Default visibility is own tickets plus explicit request-participant access. Being CC’d on an email is not portal authorisation. Department/organisation-wide visibility, submit-on-behalf and delegated approver access require independent UAM grants and scoped filtering. A requester role grants no SOC, IR or platform-content role.</w:t>
      </w:r>
    </w:p>
    <w:p>
      <w:r>
        <w:t>RP 05  Enforce public/private separation on server queries, exports, search, notification templates and attachment streams. Do not fetch internal notes to the browser and hide them. Block direct-object references to other requesters’ tickets. A portal filter is not a security boundary.</w:t>
      </w:r>
    </w:p>
    <w:p>
      <w:pPr>
        <w:pStyle w:val="Heading3"/>
        <w:keepNext/>
      </w:pPr>
      <w:r>
        <w:rPr>
          <w:color w:val="000000"/>
        </w:rPr>
        <w:t>Requester experience</w:t>
      </w:r>
    </w:p>
    <w:p>
      <w:r>
        <w:t>RP 06  Support draft forms, required-field validation, upload progress, retry-safe submission and a receipt. Show clear states for attachments awaiting scanning. Provide accessible keyboard operation, responsive layout, Software-based Orca light/dark and readable error messages. Display local times while storing UTC and configured business timezone.</w:t>
      </w:r>
    </w:p>
    <w:p>
      <w:r>
        <w:t>RP 07  Catalogue items have versions, eligibility, required fields, approval policy, fulfilment tasks and published help. A requester can withdraw a request before irreversible fulfilment; cancellation after work starts needs review. Do not execute infrastructure or access changes merely because a catalogue request was approved.</w:t>
      </w:r>
    </w:p>
    <w:p>
      <w:pPr>
        <w:pStyle w:val="Heading2"/>
        <w:keepNext/>
      </w:pPr>
      <w:r>
        <w:rPr>
          <w:color w:val="000000"/>
        </w:rPr>
        <w:t>Requester portal component design</w:t>
      </w:r>
    </w:p>
    <w:p>
      <w:r>
        <w:t>Implement MyTicketsPage with a server-filtered RadzenDataGrid, CreateTicketForm with versioned form schema, RequestCataloguePage, TicketPublicTimeline, PublicAttachmentPanel, MyApprovalsPage and KnowledgeSearchPage. Keep AnalystTicketWorkspace separate from requester DTOs. Attachment download uses the ordinary file-read endpoint; no separate grant or DLP toolbar state exists.</w:t>
      </w:r>
    </w:p>
    <w:p>
      <w:r>
        <w:t>A request can be saved as a user/tenant-scoped draft without creating a live incident. Final submission uses a stable clientRequestId and produces one ticket receipt. Resume/reconnect reloads current ownership and revision; it does not repeat a submission or expose previous-tenant form state. Deleting a draft must not delete an already submitted ticket.</w:t>
      </w:r>
    </w:p>
    <w:p>
      <w:bookmarkStart w:id="63" w:name="orca_ch_063"/>
      <w:pPr>
        <w:pStyle w:val="Tenant_Heading1"/>
      </w:pPr>
      <w:r>
        <w:t>M23 Requester portal settings</w:t>
      </w:r>
      <w:bookmarkEnd w:id="63"/>
    </w:p>
    <w:p>
      <w:r>
        <w:t>ECFG M23 | Required dependencies: M01 M02 M21; optional M03 M16.</w:t>
      </w:r>
    </w:p>
    <w:p>
      <w:r>
        <w:t>Permission boundary: requester.portal.enter and scoped own/delegated actions; extensions have separate granular grants.</w:t>
      </w:r>
    </w:p>
    <w:tbl>
      <w:tblPr>
        <w:tblStyle w:val="Tenant_LightShading-Accent1"/>
        <w:tblW w:type="auto" w:w="0"/>
        <w:tblLayout w:type="fixed"/>
        <w:tblLook w:firstColumn="1" w:firstRow="1" w:lastColumn="0" w:lastRow="0" w:noHBand="0" w:noVBand="1" w:val="04A0"/>
      </w:tblPr>
      <w:tblGrid>
        <w:gridCol w:w="2448"/>
        <w:gridCol w:w="2015"/>
        <w:gridCol w:w="5400"/>
      </w:tblGrid>
      <w:tr>
        <w:trPr>
          <w:tblHeader/>
        </w:trPr>
        <w:tc>
          <w:tcPr>
            <w:tcW w:type="dxa" w:w="2448"/>
          </w:tcPr>
          <w:p>
            <w:r>
              <w:t>Proposed key</w:t>
            </w:r>
          </w:p>
        </w:tc>
        <w:tc>
          <w:tcPr>
            <w:tcW w:type="dxa" w:w="2016"/>
          </w:tcPr>
          <w:p>
            <w:r>
              <w:t>Type and default</w:t>
            </w:r>
          </w:p>
        </w:tc>
        <w:tc>
          <w:tcPr>
            <w:tcW w:type="dxa" w:w="5400"/>
          </w:tcPr>
          <w:p>
            <w:r>
              <w:t>Validation and operational meaning</w:t>
            </w:r>
          </w:p>
        </w:tc>
      </w:tr>
      <w:tr>
        <w:trPr>
          <w:cantSplit/>
        </w:trPr>
        <w:tc>
          <w:tcPr>
            <w:tcW w:type="dxa" w:w="2448"/>
          </w:tcPr>
          <w:p>
            <w:pPr>
              <w:spacing w:after="60" w:before="40" w:line="240" w:lineRule="auto"/>
            </w:pPr>
            <w:r>
              <w:rPr>
                <w:sz w:val="18"/>
              </w:rPr>
              <w:t>requesterAudienceRef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Explicit tenant membership/audience; an entitled operator can use self-service. Guest status alone is not permission.</w:t>
            </w:r>
          </w:p>
        </w:tc>
      </w:tr>
      <w:tr>
        <w:trPr>
          <w:cantSplit/>
        </w:trPr>
        <w:tc>
          <w:tcPr>
            <w:tcW w:type="dxa" w:w="2448"/>
          </w:tcPr>
          <w:p>
            <w:pPr>
              <w:spacing w:after="60" w:before="40" w:line="240" w:lineRule="auto"/>
            </w:pPr>
            <w:r>
              <w:rPr>
                <w:sz w:val="18"/>
              </w:rPr>
              <w:t>catalogueAudienceRef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Published and entitled request items only; server derives approval/priority.</w:t>
            </w:r>
          </w:p>
        </w:tc>
      </w:tr>
      <w:tr>
        <w:trPr>
          <w:cantSplit/>
        </w:trPr>
        <w:tc>
          <w:tcPr>
            <w:tcW w:type="dxa" w:w="2448"/>
          </w:tcPr>
          <w:p>
            <w:pPr>
              <w:spacing w:after="60" w:before="40" w:line="240" w:lineRule="auto"/>
            </w:pPr>
            <w:r>
              <w:rPr>
                <w:sz w:val="18"/>
              </w:rPr>
              <w:t>knowledgeAudienceRef</w:t>
            </w:r>
          </w:p>
        </w:tc>
        <w:tc>
          <w:tcPr>
            <w:tcW w:type="dxa" w:w="2016"/>
          </w:tcPr>
          <w:p>
            <w:pPr>
              <w:spacing w:after="60" w:before="40" w:line="240" w:lineRule="auto"/>
            </w:pPr>
            <w:r>
              <w:rPr>
                <w:sz w:val="18"/>
              </w:rPr>
              <w:t>Ref; unset</w:t>
            </w:r>
          </w:p>
        </w:tc>
        <w:tc>
          <w:tcPr>
            <w:tcW w:type="dxa" w:w="5400"/>
          </w:tcPr>
          <w:p>
            <w:pPr>
              <w:spacing w:after="60" w:before="40" w:line="240" w:lineRule="auto"/>
            </w:pPr>
            <w:r>
              <w:rPr>
                <w:sz w:val="18"/>
              </w:rPr>
              <w:t>Only eligible published public content; no internal analyst notes.</w:t>
            </w:r>
          </w:p>
        </w:tc>
      </w:tr>
      <w:tr>
        <w:trPr>
          <w:cantSplit/>
        </w:trPr>
        <w:tc>
          <w:tcPr>
            <w:tcW w:type="dxa" w:w="2448"/>
          </w:tcPr>
          <w:p>
            <w:pPr>
              <w:spacing w:after="60" w:before="40" w:line="240" w:lineRule="auto"/>
            </w:pPr>
            <w:r>
              <w:rPr>
                <w:sz w:val="18"/>
              </w:rPr>
              <w:t>onBehalfEnabled</w:t>
            </w:r>
          </w:p>
        </w:tc>
        <w:tc>
          <w:tcPr>
            <w:tcW w:type="dxa" w:w="2016"/>
          </w:tcPr>
          <w:p>
            <w:pPr>
              <w:spacing w:after="60" w:before="40" w:line="240" w:lineRule="auto"/>
            </w:pPr>
            <w:r>
              <w:rPr>
                <w:sz w:val="18"/>
              </w:rPr>
              <w:t>bool; Off</w:t>
            </w:r>
          </w:p>
        </w:tc>
        <w:tc>
          <w:tcPr>
            <w:tcW w:type="dxa" w:w="5400"/>
          </w:tcPr>
          <w:p>
            <w:pPr>
              <w:spacing w:after="60" w:before="40" w:line="240" w:lineRule="auto"/>
            </w:pPr>
            <w:r>
              <w:rPr>
                <w:sz w:val="18"/>
              </w:rPr>
              <w:t>Requires requester.ticket.submit-on-behalf and verified delegation; record submitter and actual requester separately.</w:t>
            </w:r>
          </w:p>
        </w:tc>
      </w:tr>
      <w:tr>
        <w:trPr>
          <w:cantSplit/>
        </w:trPr>
        <w:tc>
          <w:tcPr>
            <w:tcW w:type="dxa" w:w="2448"/>
          </w:tcPr>
          <w:p>
            <w:pPr>
              <w:spacing w:after="60" w:before="40" w:line="240" w:lineRule="auto"/>
            </w:pPr>
            <w:r>
              <w:rPr>
                <w:sz w:val="18"/>
              </w:rPr>
              <w:t>delegationPolicyRef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Required when on-behalf is On; delegator/delegate/target scope, expiry and revocation.</w:t>
            </w:r>
          </w:p>
        </w:tc>
      </w:tr>
      <w:tr>
        <w:trPr>
          <w:cantSplit/>
        </w:trPr>
        <w:tc>
          <w:tcPr>
            <w:tcW w:type="dxa" w:w="2448"/>
          </w:tcPr>
          <w:p>
            <w:pPr>
              <w:spacing w:after="60" w:before="40" w:line="240" w:lineRule="auto"/>
            </w:pPr>
            <w:r>
              <w:rPr>
                <w:sz w:val="18"/>
              </w:rPr>
              <w:t>departmentViewingEnabled</w:t>
            </w:r>
          </w:p>
        </w:tc>
        <w:tc>
          <w:tcPr>
            <w:tcW w:type="dxa" w:w="2016"/>
          </w:tcPr>
          <w:p>
            <w:pPr>
              <w:spacing w:after="60" w:before="40" w:line="240" w:lineRule="auto"/>
            </w:pPr>
            <w:r>
              <w:rPr>
                <w:sz w:val="18"/>
              </w:rPr>
              <w:t>bool; Off</w:t>
            </w:r>
          </w:p>
        </w:tc>
        <w:tc>
          <w:tcPr>
            <w:tcW w:type="dxa" w:w="5400"/>
          </w:tcPr>
          <w:p>
            <w:pPr>
              <w:spacing w:after="60" w:before="40" w:line="240" w:lineRule="auto"/>
            </w:pPr>
            <w:r>
              <w:rPr>
                <w:sz w:val="18"/>
              </w:rPr>
              <w:t>Requires requester.department.read and trusted department membership; no email-domain/job-title inference.</w:t>
            </w:r>
          </w:p>
        </w:tc>
      </w:tr>
      <w:tr>
        <w:trPr>
          <w:cantSplit/>
        </w:trPr>
        <w:tc>
          <w:tcPr>
            <w:tcW w:type="dxa" w:w="2448"/>
          </w:tcPr>
          <w:p>
            <w:pPr>
              <w:spacing w:after="60" w:before="40" w:line="240" w:lineRule="auto"/>
            </w:pPr>
            <w:r>
              <w:rPr>
                <w:sz w:val="18"/>
              </w:rPr>
              <w:t>departmentScopePolicyRef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Required when department view On; allowed departments/actions and audience boundary.</w:t>
            </w:r>
          </w:p>
        </w:tc>
      </w:tr>
      <w:tr>
        <w:trPr>
          <w:cantSplit/>
        </w:trPr>
        <w:tc>
          <w:tcPr>
            <w:tcW w:type="dxa" w:w="2448"/>
          </w:tcPr>
          <w:p>
            <w:pPr>
              <w:spacing w:after="60" w:before="40" w:line="240" w:lineRule="auto"/>
            </w:pPr>
            <w:r>
              <w:rPr>
                <w:sz w:val="18"/>
              </w:rPr>
              <w:t>resolutionReopenPolicyRef</w:t>
            </w:r>
          </w:p>
        </w:tc>
        <w:tc>
          <w:tcPr>
            <w:tcW w:type="dxa" w:w="2016"/>
          </w:tcPr>
          <w:p>
            <w:pPr>
              <w:spacing w:after="60" w:before="40" w:line="240" w:lineRule="auto"/>
            </w:pPr>
            <w:r>
              <w:rPr>
                <w:sz w:val="18"/>
              </w:rPr>
              <w:t>PolicyRef; unset</w:t>
            </w:r>
          </w:p>
        </w:tc>
        <w:tc>
          <w:tcPr>
            <w:tcW w:type="dxa" w:w="5400"/>
          </w:tcPr>
          <w:p>
            <w:pPr>
              <w:spacing w:after="60" w:before="40" w:line="240" w:lineRule="auto"/>
            </w:pPr>
            <w:r>
              <w:rPr>
                <w:sz w:val="18"/>
              </w:rPr>
              <w:t>Acceptance/rejection/reopen window, linked-new-ticket outcome and scoped requester approval.</w:t>
            </w:r>
          </w:p>
        </w:tc>
      </w:tr>
    </w:tbl>
    <w:p>
      <w:pPr>
        <w:pStyle w:val="Tenant_Heading2"/>
      </w:pPr>
      <w:r>
        <w:t>Lifecycle and integration</w:t>
      </w:r>
    </w:p>
    <w:p>
      <w:r>
        <w:t>M23 On does not grant requester.portal.enter. The portal returns restricted DTOs; private notes and unrelated attachments are filtered on the server, including exports.</w:t>
      </w:r>
    </w:p>
    <w:p>
      <w:pPr>
        <w:pStyle w:val="Tenant_Heading2"/>
      </w:pPr>
      <w:r>
        <w:t>Engine acceptance scenario</w:t>
      </w:r>
    </w:p>
    <w:p>
      <w:r>
        <w:t>ECFG M23 AC: Test own versus unrelated ticket, operator without requester grant, delegated submission attribution, expired department membership and extension Off hiding its UI.</w:t>
      </w:r>
    </w:p>
    <w:p>
      <w:r>
        <w:t>All common TSET/NAV gates apply. Values and references are server-validated in the selected tenant; generic settings edits never replace the owning engine’s publication or approval workflow.</w:t>
      </w:r>
    </w:p>
    <w:p>
      <w:bookmarkStart w:id="64" w:name="orca_ch_064"/>
      <w:pPr>
        <w:pStyle w:val="Heading1"/>
        <w:keepNext/>
        <w:pageBreakBefore/>
      </w:pPr>
      <w:r>
        <w:rPr>
          <w:color w:val="000000"/>
        </w:rPr>
        <w:t>Acceptance and traceability</w:t>
      </w:r>
      <w:bookmarkEnd w:id="64"/>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Test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Capability</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Release evidence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A01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and module isolation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Cross tenant UI worker file vector export and API access denied</w:t>
              <w:br/>
              <w:t>Trace: M01 AC1 AC4; V5-T01 T03 T06 T28</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A02</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Permission matrix</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Role-scoped and subject-scoped denial overrides issuer ceiling revocation and separation of duties follow M02 algorithm; V5-T02 V5-T28.</w:t>
              <w:br/>
              <w:t>Trace: M02 AC1 AC2 AC3; V5-T02 T28</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A03</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Module release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Upgrade File Store with Sentinel Defender and AI absent; no unrelated release gate</w:t>
              <w:br/>
              <w:t>Trace: M01 AC2; M03 AC1; V5-T26 and compatibility suite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A04</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Unified sources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Native Sentinel Defender duplicates produce one canonical incident</w:t>
              <w:br/>
              <w:t>Trace: M04 AC1; M06 AC1; V5-T07 T09</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A05</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Sentinel reuse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Existing third party Sentinel incident appears without a custom connector</w:t>
              <w:br/>
              <w:t>Trace: M05 AC1; V5-T08</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A06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API coverage gaps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Manually created and secondary workspace incident scenarios proven or gap explicitly flagged</w:t>
              <w:br/>
              <w:t>Trace: M05 AC2; M06 AC2; V5-T08 T09</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A07</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Bidirectional sync</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Concurrent field changes remote reopen comments retries and echo suppression verified</w:t>
              <w:br/>
              <w:t>Trace: M04 AC2 AC3; M05/M06 AC3; V5-T07 T08 T09</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A08</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Agentless assets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Populate current inventory without new agent; preserve IDs provenance and ambiguity</w:t>
              <w:br/>
              <w:t>Trace: M07 AC1 AC2 AC3; V5-T10</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A09</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 and AI privacy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Revoked content excluded from search downloads prompts citations and conversation access</w:t>
              <w:br/>
              <w:t>Trace: M03 AC2; M10 AC2 AC3; V5-T05 T06 T13 T15</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A10</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Response authority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Approvals exact target current policy kill switch unknown outcome and verification tested</w:t>
              <w:br/>
              <w:t>Trace: M12 AC1 AC2 AC3; V5-T17</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A11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 governance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Scope change invalidates approval; scheduling emergency and rollback paths audited</w:t>
              <w:br/>
              <w:t>Trace: M13 AC1 AC2 AC3; V5-T18</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A12</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Problem lifecycle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Hypothesis known error workaround permanent fix recurrence and incident links preserved</w:t>
              <w:br/>
              <w:t>Trace: M14 AC1 AC2 AC3; V5-T19</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A13</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AI budgets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Concurrent tenant group user reservations cannot overspend remaining capacity</w:t>
              <w:br/>
              <w:t>Trace: M11 AC1 AC2 AC3; V5-T16</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A14</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ATTACK metrics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Versioned IDs parent sub-technique and distinct incident denominators correct</w:t>
              <w:br/>
              <w:t>Trace: M08 AC1 AC2 AC3; V5-T11</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A15</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Operational continuity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Source outage module disable partial coverage restore and circuit reconnect safe</w:t>
              <w:br/>
              <w:t>Trace: M01 AC3 AC4; source engine AC3; V5-T03 T04 T26</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A16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UI licensing</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MIT UI component code and declared unmodified Apache/OFL assets pass inventory gate; non-UI packages follow documented policy.</w:t>
              <w:br/>
              <w:t>Trace: M01 admission; V5-T27</w:t>
            </w:r>
          </w:p>
        </w:tc>
      </w:tr>
    </w:tbl>
    <w:p>
      <w:pPr>
        <w:keepNext w:val="0"/>
        <w:keepLines w:val="0"/>
        <w:pageBreakBefore w:val="0"/>
        <w:spacing w:before="0" w:after="0" w:line="20" w:lineRule="exact"/>
      </w:pPr>
    </w:p>
    <w:p>
      <w:r>
        <w:t>Earlier domain scenario coverage remains required within the relevant engine: source duplicate replay transaction recovery concurrent merge remote reopen pagination comments consent closure gates round robin backup DST lease expiry LocalOnly ACL prompt injection immutable approval kill switch unknown action replay restore load evidence and UAM outage; File Store malware version hold and reconnect; chat citations group budget concurrency and usage reconciliation; ATTACK catalogue lifecycle mappings metrics and rollback. The module acceptance criteria identify which scenarios must pass for each independent release.</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Previous scope</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Current owner</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Disposition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Hybrid tenants security identity and roles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M02</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Retained; UAM is matrix based</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Broad Microsoft connectors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M05 M06 M16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Retained programme coverage; Sentinel reuse and incremental releases replace mandatory direct connectors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Incident sync NIST and response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M04 M12</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Retained supported bidirectional semantics and approvals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Teams shifts warnings and handover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M09</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Retained as reusable routing</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File Store evidence search and library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M03</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Retained standalone and linked modes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Azure and local AI Qdrant chat references confidence</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Retained governed inference and retrieval</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Tenant group user token budgets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Retained primary charge group</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MITRE ATTACK mappings and metrics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M08 M15</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Retained official JSON catalogue and validated coverage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MudBlazor UI</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and all views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Replaced by Radzen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Agentless inventory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M07</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New explicit asset engine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 Requests and Problem Management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M13 M14</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New separate engines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Frozen technical implementation plan</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 engines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Required what and acceptance; how remains researched suggestions</w:t>
            </w:r>
          </w:p>
        </w:tc>
      </w:tr>
    </w:tbl>
    <w:p>
      <w:pPr>
        <w:keepNext w:val="0"/>
        <w:keepLines w:val="0"/>
        <w:pageBreakBefore w:val="0"/>
        <w:spacing w:before="0" w:after="0" w:line="20" w:lineRule="exact"/>
      </w:pPr>
    </w:p>
    <w:p>
      <w:bookmarkStart w:id="65" w:name="orca_ch_065"/>
      <w:pPr>
        <w:pStyle w:val="Heading1"/>
        <w:keepNext/>
        <w:pageBreakBefore w:val="0"/>
      </w:pPr>
      <w:r>
        <w:rPr>
          <w:color w:val="000000"/>
        </w:rPr>
        <w:t>Optimisation and governance shared requirements</w:t>
      </w:r>
      <w:bookmarkEnd w:id="65"/>
    </w:p>
    <w:p>
      <w:r>
        <w:t>New engines add evidence and recommendations to the unified tenant portal. They do not replace Microsoft billing source administration or existing security connector collection. Reuse authenticated source adapters and inventory datasets; direct finance governance and score APIs fill gaps that incident feeds cannot supply. One recommendation can have cost security reliability and licence consequences. Retain source IDs and compatible action groups to avoid duplicates across M17 to M20 and existing M08 controls.</w:t>
      </w:r>
    </w:p>
    <w:p>
      <w:r>
        <w:t>Permission matrix additions: cost.read cost.amounts.read cost.scenario.manage cost.recommendation.review commitment.read commitment.purchase.request licence.inventory.read licence.user.read identity.activity.read governance.finding.review devops.governance.read posture.read posture.configure and executive.aggregate.read. Purchase licence removal resource write identity disable and credential changes each require separate execution grants and approval. Default connectors use read consent only. A user able to read an incident does not automatically see a price contract or named activity history.</w:t>
      </w:r>
    </w:p>
    <w:p>
      <w:r>
        <w:t>Committed business records remain customer-side; trusted execution authority, approvals, connector state, audit and private notes remain in the operator-held tenant store under the confirmed custody schedule with sensitivity classification collection timestamps source scope and deletion policy. Executive rollups use approved aggregate disclosure rules. AI may explain prioritise and propose improvements with citations confidence and existing AI budgets; it cannot invent prices infer missing activity or approve actions. Deterministic calculations show formula source and verification state. Actual source changes require independent authority and existing change or response gates when enabled.</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Test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Capability</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acceptance evidence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A17</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Azure rightsizing</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Demand peaks missing memory or metrics DR dependencies and owner exclusions prevent unsafe automatic downsize</w:t>
              <w:br/>
              <w:t>Trace: M17 AC1 AC3; V5-T22</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A18</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Benefit overlap</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Resize shutdown existing reservation and savings plan do not double count the same eligible usage</w:t>
              <w:br/>
              <w:t>Trace: M17 AC2; V5-T22</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A19</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Commercial savings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Seat reuse or freed committed capacity is not represented as verified bill reduction</w:t>
              <w:br/>
              <w:t>Trace: M17/M18 AC3; V5-T22 T23</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A20</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Identity uncertainty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Null concealed stale or noninteractive data produces correct unknown or exception result</w:t>
              <w:br/>
              <w:t>Trace: M18 AC1 AC2; V5-T23</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A21</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DevOps scope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Organisation project identities and automation dependencies preserved in inactive user review</w:t>
              <w:br/>
              <w:t>Trace: M19 AC1 AC2; V5-T24</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A22</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Score parity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Classic Azure M365 Advisor and risk based source values retain model scope unit date and separate histories</w:t>
              <w:br/>
              <w:t>Trace: M20 AC1 AC2; V5-T25</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A23</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Score aggregation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Missing subscriptions zero denominator and incompatible models do not create misleading totals</w:t>
              <w:br/>
              <w:t>Trace: M20 AC2 AC3; M15 AC1; V5-T20 T25</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A24</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Dashboard access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Executive aggregates technical drilldown and exports respect matrix and privacy grants</w:t>
              <w:br/>
              <w:t>Trace: M15 AC2; M02 AC1; V5-T20</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A25</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Change authority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Read only optimisation cannot purchase benefits remove licences shut down or delete resources</w:t>
              <w:br/>
              <w:t>Trace: M17/M18 AC3; M12 AC1; V5-T17 T22 T23</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A26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Independent releases</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Cost licence DevOps and score engines can release separately; absent feeds display unavailable</w:t>
              <w:br/>
              <w:t>Trace: M01 AC2; M15 AC3; V5-T20 and module absence tests</w:t>
            </w:r>
          </w:p>
        </w:tc>
      </w:tr>
    </w:tbl>
    <w:p>
      <w:pPr>
        <w:keepNext w:val="0"/>
        <w:keepLines w:val="0"/>
        <w:pageBreakBefore w:val="0"/>
        <w:spacing w:before="0" w:after="0" w:line="20" w:lineRule="exact"/>
      </w:pPr>
    </w:p>
    <w:p>
      <w:r>
        <w:t>Required backlog order: foundation M01 and M02; Priority 1A M17 M20 and M15 executive and technical dashboards; Priority 1B M18 and M19; then Priority 2 incident management M04 with M05 Sentinel first and M06 Defender next followed by its context and workflows. Priority 1 acceptance requires authorised collection evidence based findings scoped dashboards and source freshness and coverage checks. Incident modules are not a prerequisite. Deeper analysis and governed execution remain incremental. Missing modules display not collected rather than healthy.</w:t>
      </w:r>
    </w:p>
    <w:p>
      <w:r>
        <w:t>Decision inputs for implementation: customer billing agreement and scopes price contracts currencies first subscriptions and organisations read consent privacy requirements observation windows inactive account exceptions business service performance requirements commitment appetite renewal dates target score models and exact executive access. Proposed starting behaviour is read only and owner reviewed, with no automatic irreversible or commercial action.</w:t>
      </w:r>
    </w:p>
    <w:p>
      <w:bookmarkStart w:id="66" w:name="orca_ch_066"/>
      <w:pPr>
        <w:pStyle w:val="Heading1"/>
        <w:keepNext/>
        <w:pageBreakBefore/>
      </w:pPr>
      <w:r>
        <w:rPr>
          <w:color w:val="000000"/>
        </w:rPr>
        <w:t>Primary research references for optimisation and dashboards</w:t>
      </w:r>
      <w:bookmarkEnd w:id="66"/>
    </w:p>
    <w:p>
      <w:r>
        <w:t>Reviewed 17 October 2026. The references establish capabilities; opportunity catalogues workflow models thresholds and data contracts are scope and design suggestions to validate during development. A portal feature does not imply the same value is exposed by every API. Revalidate at implementation.</w:t>
      </w:r>
    </w:p>
    <w:p>
      <w:r>
        <w:t>S32 Azure Cost Management query and forecast</w:t>
        <w:br/>
        <w:t>https://learn.microsoft.com/en-us/rest/api/cost-management/query/usage?view=rest-cost-management-2025-03-01</w:t>
      </w:r>
    </w:p>
    <w:p>
      <w:r>
        <w:t>S33 Azure Advisor cost recommendation catalogue</w:t>
        <w:br/>
        <w:t>https://learn.microsoft.com/en-us/azure/advisor/advisor-reference-cost-recommendations</w:t>
      </w:r>
    </w:p>
    <w:p>
      <w:r>
        <w:t>S34 Azure Advisor savings calculation and overlap</w:t>
        <w:br/>
        <w:t>https://learn.microsoft.com/en-us/azure/advisor/advisor-how-to-calculate-total-cost-savings</w:t>
      </w:r>
    </w:p>
    <w:p>
      <w:r>
        <w:t>S35 Savings plan commitment recommendations</w:t>
        <w:br/>
        <w:t>https://learn.microsoft.com/en-us/azure/cost-management-billing/savings-plan/choose-commitment-amount</w:t>
      </w:r>
    </w:p>
    <w:p>
      <w:r>
        <w:t>S36 Microsoft Graph signInActivity</w:t>
        <w:br/>
        <w:t>https://learn.microsoft.com/en-us/graph/api/resources/signinactivity?view=graph-rest-1.0</w:t>
      </w:r>
    </w:p>
    <w:p>
      <w:r>
        <w:t>S37 Microsoft Graph subscribedSkus</w:t>
        <w:br/>
        <w:t>https://learn.microsoft.com/en-us/graph/api/subscribedsku-list?view=graph-rest-1.0</w:t>
      </w:r>
    </w:p>
    <w:p>
      <w:r>
        <w:t>S38 Microsoft 365 active user usage report</w:t>
        <w:br/>
        <w:t>https://learn.microsoft.com/en-us/graph/api/reportroot-getoffice365activeuserdetail?view=graph-rest-1.0</w:t>
      </w:r>
    </w:p>
    <w:p>
      <w:r>
        <w:t>S39 Azure DevOps organisation user entitlements</w:t>
        <w:br/>
        <w:t>https://learn.microsoft.com/en-us/rest/api/azure/devops/memberentitlementmanagement/user-entitlements/search-user-entitlements?view=azure-devops-rest-7.1</w:t>
      </w:r>
    </w:p>
    <w:p>
      <w:r>
        <w:t>S40 Defender for Cloud classic and risk based score models</w:t>
        <w:br/>
        <w:t>https://learn.microsoft.com/en-us/azure/defender-for-cloud/secure-score-security-controls</w:t>
      </w:r>
    </w:p>
    <w:p>
      <w:r>
        <w:t>S41 Defender for Cloud Secure Scores API</w:t>
        <w:br/>
        <w:t>https://learn.microsoft.com/en-us/rest/api/defenderforcloud/secure-scores/list?view=rest-defenderforcloud-2020-01-01</w:t>
      </w:r>
    </w:p>
    <w:p>
      <w:r>
        <w:t>S42 Microsoft Graph Secure Scores API</w:t>
        <w:br/>
        <w:t>https://learn.microsoft.com/en-us/graph/api/security-list-securescores?view=graph-rest-1.0</w:t>
      </w:r>
    </w:p>
    <w:p>
      <w:r>
        <w:t>S43 Azure Advisor Scores API</w:t>
        <w:br/>
        <w:t>https://learn.microsoft.com/en-us/rest/api/advisor/advisor-scores/list?view=rest-advisor-2025-01-01</w:t>
      </w:r>
    </w:p>
    <w:p>
      <w:r>
        <w:t>S44 Azure Policy compliance summary</w:t>
        <w:br/>
        <w:t>https://learn.microsoft.com/en-us/rest/api/policyinsights/policy-states/summarize-for-subscription?view=rest-policyinsights-2024-10-01</w:t>
      </w:r>
    </w:p>
    <w:p>
      <w:r>
        <w:t>S45 Microsoft 365 report privacy and supported reports</w:t>
        <w:br/>
        <w:t>https://learn.microsoft.com/en-us/graph/api/resources/report?view=graph-rest-1.0</w:t>
      </w:r>
    </w:p>
    <w:p>
      <w:r>
        <w:t>S46 Azure DevOps security recommendations</w:t>
        <w:br/>
        <w:t>https://learn.microsoft.com/en-us/azure/devops/organizations/security/security-best-practices</w:t>
      </w:r>
    </w:p>
    <w:p>
      <w:r>
        <w:t>S47 M365 Copilot usage reports</w:t>
        <w:br/>
        <w:t>https://learn.microsoft.com/en-us/microsoft-365/copilot/extensibility/api/admin-settings/reports/copilotreportroot-getmicrosoft365copilotusageuserdetail</w:t>
      </w:r>
    </w:p>
    <w:p>
      <w:r>
        <w:t>S48 Application credential metadata</w:t>
        <w:br/>
        <w:t>https://learn.microsoft.com/en-us/graph/api/resources/passwordcredential?view=graph-rest-1.0</w:t>
      </w:r>
    </w:p>
    <w:p>
      <w:bookmarkStart w:id="67" w:name="orca_ch_067"/>
      <w:pPr>
        <w:pStyle w:val="Heading1"/>
        <w:keepNext/>
        <w:pageBreakBefore/>
      </w:pPr>
      <w:r>
        <w:rPr>
          <w:color w:val="000000"/>
        </w:rPr>
        <w:t>Research sources and development decision gates</w:t>
      </w:r>
      <w:bookmarkEnd w:id="67"/>
    </w:p>
    <w:p>
      <w:r>
        <w:t>Source review date 16 October 2026. Public API availability is not proof of customer licensing consent cloud coverage or field parity. Developers must record exact endpoint permission product version documentation date and sandbox evidence at module inception. Suggested source selection is revisited before implementation and before provider upgrades.</w:t>
      </w:r>
    </w:p>
    <w:p>
      <w:r>
        <w:t>S01  Microsoft Graph Update incident</w:t>
        <w:br/>
        <w:t>https://learn.microsoft.com/en-us/graph/api/security-incident-update?view=graph-rest-1.0</w:t>
      </w:r>
    </w:p>
    <w:p>
      <w:r>
        <w:t>S02  Microsoft Graph Create comment for incident</w:t>
        <w:br/>
        <w:t>https://learn.microsoft.com/en-us/graph/api/security-incident-post-comments?view=graph-rest-1.0</w:t>
      </w:r>
    </w:p>
    <w:p>
      <w:r>
        <w:t>S03  Sentinel Incidents Create Or Update stable 2025 09 01</w:t>
        <w:br/>
        <w:t>https://learn.microsoft.com/en-us/rest/api/securityinsights/incidents/create-or-update?view=rest-securityinsights-2025-09-01</w:t>
      </w:r>
    </w:p>
    <w:p>
      <w:r>
        <w:t>S04  Sentinel Incident Comments Create Or Update</w:t>
        <w:br/>
        <w:t>https://learn.microsoft.com/en-us/rest/api/securityinsights/incident-comments/create-or-update?view=rest-securityinsights-2025-09-01</w:t>
      </w:r>
    </w:p>
    <w:p>
      <w:r>
        <w:t>S05  NIST SP 800 61 Revision 3 final April 2025</w:t>
        <w:br/>
        <w:t>https://csrc.nist.gov/pubs/sp/800/61/r3/final</w:t>
      </w:r>
    </w:p>
    <w:p>
      <w:r>
        <w:t>S06  Entra enterprise application user and group assignment</w:t>
        <w:br/>
        <w:t>https://learn.microsoft.com/en-us/entra/identity/enterprise-apps/assign-user-or-group-access-portal</w:t>
      </w:r>
    </w:p>
    <w:p>
      <w:r>
        <w:t>S07  Graph change notifications supported resources</w:t>
        <w:br/>
        <w:t>https://learn.microsoft.com/en-us/graph/change-notifications-overview</w:t>
      </w:r>
    </w:p>
    <w:p>
      <w:r>
        <w:t>S08  Defender for Endpoint Isolate machine</w:t>
        <w:br/>
        <w:t>https://learn.microsoft.com/en-us/defender-endpoint/api/isolate-machine</w:t>
      </w:r>
    </w:p>
    <w:p>
      <w:r>
        <w:t>S09  Defender for Cloud Apps REST API</w:t>
        <w:br/>
        <w:t>https://learn.microsoft.com/en-us/defender-cloud-apps/api-introduction</w:t>
      </w:r>
    </w:p>
    <w:p>
      <w:r>
        <w:t>S10  Defender for Cloud Alerts REST API</w:t>
        <w:br/>
        <w:t>https://learn.microsoft.com/en-us/rest/api/defenderforcloud/alerts?view=rest-defenderforcloud-2022-01-01</w:t>
      </w:r>
    </w:p>
    <w:p>
      <w:r>
        <w:t>S11  Graph List riskDetections</w:t>
        <w:br/>
        <w:t>https://learn.microsoft.com/en-us/graph/api/riskdetection-list?view=graph-rest-1.0</w:t>
      </w:r>
    </w:p>
    <w:p>
      <w:r>
        <w:t>S12  Office 365 Management Activity API</w:t>
        <w:br/>
        <w:t>https://learn.microsoft.com/en-us/office/office-365-management-api/office-365-management-activity-api-reference</w:t>
      </w:r>
    </w:p>
    <w:p>
      <w:r>
        <w:t>S13  Microsoft Graph Intune overview</w:t>
        <w:br/>
        <w:t>https://learn.microsoft.com/en-us/graph/api/resources/intune-graph-overview?view=graph-rest-1.0</w:t>
      </w:r>
    </w:p>
    <w:p>
      <w:r>
        <w:t>S14  Graph runHuntingQuery</w:t>
        <w:br/>
        <w:t>https://learn.microsoft.com/en-us/graph/api/security-security-runhuntingquery?view=graph-rest-1.0</w:t>
      </w:r>
    </w:p>
    <w:p>
      <w:r>
        <w:t>S15  NIST CSF 2 release and six functions</w:t>
        <w:br/>
        <w:t>https://www.nist.gov/news-events/news/2024/02/nist-releases-version-20-landmark-cybersecurity-framework</w:t>
      </w:r>
    </w:p>
    <w:p>
      <w:r>
        <w:t>S16  Graph List alerts v2</w:t>
        <w:br/>
        <w:t>https://learn.microsoft.com/en-us/graph/api/security-list-alerts_v2?view=graph-rest-1.0</w:t>
      </w:r>
    </w:p>
    <w:p>
      <w:r>
        <w:t>S17  Blazor server authentication and authorisation</w:t>
        <w:br/>
        <w:t>https://learn.microsoft.com/en-us/aspnet/core/blazor/security/server/?view=aspnetcore-10.0</w:t>
      </w:r>
    </w:p>
    <w:p>
      <w:r>
        <w:t>S18  Blazor SignalR guidance</w:t>
        <w:br/>
        <w:t>https://learn.microsoft.com/en-us/aspnet/core/blazor/fundamentals/signalr?view=aspnetcore-10.0</w:t>
      </w:r>
    </w:p>
    <w:p>
      <w:r>
        <w:t>S20  Qdrant project license</w:t>
        <w:br/>
        <w:t>https://github.com/qdrant/qdrant</w:t>
      </w:r>
    </w:p>
    <w:p>
      <w:r>
        <w:t>S21  MongoDB Community Server licensing</w:t>
        <w:br/>
        <w:t>https://www.mongodb.com/legal/licensing/community-edition</w:t>
      </w:r>
    </w:p>
    <w:p>
      <w:r>
        <w:t>S22  LM Studio terms</w:t>
        <w:br/>
        <w:t>https://lmstudio.ai/terms</w:t>
      </w:r>
    </w:p>
    <w:p>
      <w:r>
        <w:t>S19 Radzen component library replaces the earlier MudBlazor reference. https://github.com/radzenhq/radzen-blazor</w:t>
      </w:r>
    </w:p>
    <w:p>
      <w:r>
        <w:t>S26 Microsoft Sentinel transition to Defender portal API and incident exceptions</w:t>
        <w:br/>
        <w:t>https://learn.microsoft.com/en-us/azure/sentinel/move-to-defender</w:t>
      </w:r>
    </w:p>
    <w:p>
      <w:r>
        <w:t>S27 Microsoft Sentinel and Defender integration native synchronisation</w:t>
        <w:br/>
        <w:t>https://learn.microsoft.com/en-us/azure/sentinel/microsoft-365-defender-sentinel-integration</w:t>
      </w:r>
    </w:p>
    <w:p>
      <w:r>
        <w:t>S28 Azure Resource Graph overview</w:t>
        <w:br/>
        <w:t>https://learn.microsoft.com/en-us/azure/governance/resource-graph/overview</w:t>
      </w:r>
    </w:p>
    <w:p>
      <w:r>
        <w:t>S29 Defender for Endpoint List machines</w:t>
        <w:br/>
        <w:t>https://learn.microsoft.com/en-us/defender-endpoint/api/get-machines</w:t>
      </w:r>
    </w:p>
    <w:p>
      <w:r>
        <w:t>S30 Microsoft Graph List Intune managedDevices</w:t>
        <w:br/>
        <w:t>https://learn.microsoft.com/en-us/graph/api/intune-devices-manageddevice-list?view=graph-rest-1.0</w:t>
      </w:r>
    </w:p>
    <w:p>
      <w:r>
        <w:t>S31 Radzen Blazor MIT library</w:t>
        <w:br/>
        <w:t>https://github.com/radzenhq/radzen-blazor</w:t>
      </w:r>
    </w:p>
    <w:p>
      <w:r>
        <w:t>Official ATTACK STIX JSON sources remain https://github.com/mitre-attack/attack-stix-data and its release index. NIST SP 800-61 Revision 3 and CSF 2.0 remain the incident management reference. Radzen Blazor library publishes an MIT package license; Radzen paid design tools are not required [S31].  The v5 licence policy separates MIT UI code from accepted unmodified bundled assets; see V5-D10.</w:t>
      </w:r>
    </w:p>
    <w:tbl>
      <w:tblPr>
        <w:tblStyle w:val="LightShading-Accent1"/>
        <w:tblW w:type="auto" w:w="0"/>
        <w:tblLayout w:type="fixed"/>
        <w:tblLook w:firstColumn="1" w:firstRow="1" w:lastColumn="0" w:lastRow="0" w:noHBand="0" w:noVBand="1" w:val="04A0"/>
      </w:tblPr>
      <w:tblGrid>
        <w:gridCol w:w="3456"/>
        <w:gridCol w:w="3456"/>
        <w:gridCol w:w="3456"/>
      </w:tblGrid>
      <w:tr>
        <w:trPr>
          <w:tblHeader/>
          <w:cantSplit/>
          <w:tblHeader/>
          <w:cantSplit/>
        </w:trPr>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Decision input</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When needed</w:t>
            </w:r>
          </w:p>
        </w:tc>
        <w:tc>
          <w:tcPr>
            <w:tcW w:type="dxa" w:w="3456"/>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decision evidence</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Permission Manager authority and source contract</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M02 design</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Verify internal Permission Manager adaptation, deny semantics versioned matrix publication and revocation. No external UAM adapter procurement.</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First source cohort</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M05 M06</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Sentinel onboarding workspaces source scenarios consent license and exceptions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Asset pilot datasets</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M07</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Which existing inventories are accessible field quality IDs and retention</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Change authority</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CAB thresholds standard emergency policies freeze windows and review requirements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Problem governance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M14</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Root cause reviewers known error audience and recurrence criteria</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AI model and web provider</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M10</w:t>
            </w:r>
          </w:p>
        </w:tc>
        <w:tc>
          <w:tcPr>
            <w:tcW w:type="dxa" w:w="34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Quality safety residency citation tests local hardware and terms</w:t>
            </w:r>
          </w:p>
        </w:tc>
      </w:tr>
      <w:tr>
        <w:trPr>
          <w:cantSplit/>
          <w:cantSplit/>
        </w:trPr>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Scale retention and recovery</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M01 and each engine</w:t>
            </w:r>
          </w:p>
        </w:tc>
        <w:tc>
          <w:tcPr>
            <w:tcW w:type="dxa" w:w="34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Expected volumes approved objectives budget and measured test plan</w:t>
            </w:r>
          </w:p>
        </w:tc>
      </w:tr>
    </w:tbl>
    <w:p>
      <w:pPr>
        <w:keepNext w:val="0"/>
        <w:keepLines w:val="0"/>
        <w:pageBreakBefore w:val="0"/>
        <w:spacing w:before="0" w:after="0" w:line="20" w:lineRule="exact"/>
      </w:pPr>
    </w:p>
    <w:p>
      <w:r>
        <w:t>Default assumptions permit scope work to proceed: begin with available existing inventory; track Change Requests and Problems manually before automated execution; use configurable approval policies rather than inventing named CAB members or regulatory deadlines. These are implementation planning assumptions and not approved commercial service levels.</w:t>
      </w:r>
    </w:p>
    <w:p>
      <w:bookmarkStart w:id="68" w:name="orca_ch_068"/>
      <w:pPr>
        <w:pStyle w:val="Heading1"/>
        <w:keepNext/>
        <w:pageBreakBefore w:val="0"/>
      </w:pPr>
      <w:r>
        <w:rPr>
          <w:color w:val="000000"/>
        </w:rPr>
        <w:t>ITSM mailbox and requester acceptance evidence</w:t>
      </w:r>
      <w:bookmarkEnd w:id="68"/>
    </w:p>
    <w:p>
      <w:pPr>
        <w:pStyle w:val="Heading2"/>
        <w:keepNext/>
      </w:pPr>
      <w:r>
        <w:rPr>
          <w:color w:val="000000"/>
        </w:rPr>
        <w:t>Acceptance criteria and test scenarios</w:t>
      </w:r>
    </w:p>
    <w:tbl>
      <w:tblPr>
        <w:tblW w:type="auto" w:w="0"/>
        <w:tblLayout w:type="fixed"/>
        <w:tblLook w:firstColumn="1" w:firstRow="1" w:lastColumn="0" w:lastRow="0" w:noHBand="0" w:noVBand="1" w:val="04A0"/>
      </w:tblPr>
      <w:tblGrid>
        <w:gridCol w:w="1944"/>
        <w:gridCol w:w="8136"/>
      </w:tblGrid>
      <w:tr>
        <w:trPr>
          <w:tblHeader/>
          <w:cantSplit/>
          <w:tblHeade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Test</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outcome</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ITSM-A01 Mail rule</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Approved subject/sender rule creates one correctly typed ticket in the board with recorded rule/version.</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ITSM-A02 Nonmatch and overlap</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Nonmatching mail creates no ticket; overlapping rules follow first-match and explain the result.</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ITSM-A03 Retry and crash</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Duplicate notifications, delta replay and crash after create produce one ticket and one comment.</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ITSM-A04 Missing notifications</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Webhook outage, expiry or lost consent is visible; delta recovery catches retained messages without duplicates.</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ITSM-A05 Hostile mail</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Spoofed tenant tag, loop, bounce, unsafe HTML and bad attachments do not create privilege or data leakage.</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ITSM-A06 Portal convergence</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Authenticated requester ticket enters the same board and receives the same lifecycle as equivalent mail intake.</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ITSM-A07 Requester isolation</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Own/delegated filtering holds for IDs, search counts, comments, attachments, exports and notifications.</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ITSM-A08a basic ownership and ITSM-A08b shift fallback</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R06T: eligible group acceptance, ineligible-transfer denial and revision conflict (08a). R09T after M09: off-shift fallback and accountable primary/backup routing (08b).</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ITSM-A09 Status guards</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Invalid close/resolve fails. Mandatory resolution/task conditions and controlled reopen are enforced.</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ITSM-A10 SLA correctness</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DST, holidays, approved pause, reassignment, priority change and reopen preserve consumed time and breach history.</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ITSM-A11 Request fulfilment</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Approval/task dependencies gate completion; self-approval and unauthorised execution fail.</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ITSM-A12 Security separation</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ITSM resolution does not close M04; linked security content remains separately authorised.</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ITSM-A13 Attachment simplification</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Eligible file reader can preview/download without a separate grant; denied reader and malicious evidence remain blocked.</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ITSM-A14 Component policy</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No Syncfusion packages, scripts, licence keys or editor calls in the delivered module dependency manifest.</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ITSM-A15 Full path recovery</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Intent/Outcome, idempotent receipts, notification failures and restored checkpoints do not lose or multiply work.</w:t>
            </w:r>
          </w:p>
        </w:tc>
      </w:tr>
    </w:tbl>
    <w:p>
      <w:pPr>
        <w:spacing w:before="100"/>
      </w:pPr>
      <w:r>
        <w:t>Add representative CSV/images and SOC evidence-format tests from the retained File Store catalogue. A blocked or oversized attachment must leave a recoverable ticket intake outcome and a visible warning. Test bulk operations with mixed permissions and failures; do not report the whole batch as successful.</w:t>
      </w:r>
    </w:p>
    <w:p>
      <w:r>
        <w:t>Proposed service target: portal submission within 3 seconds at p95 excluding upload; matched mail visible within 5 minutes under agreed normal polling/load. These are starting targets, not measured capacity. Agree volume, outage recovery and size profiles before performance acceptance.</w:t>
      </w:r>
    </w:p>
    <w:p>
      <w:pPr>
        <w:pStyle w:val="Heading2"/>
        <w:keepNext/>
      </w:pPr>
      <w:r>
        <w:rPr>
          <w:color w:val="000000"/>
        </w:rPr>
        <w:t>Additional integration tests</w:t>
      </w:r>
    </w:p>
    <w:p>
      <w:r>
        <w:t>V6-T30 Verify a file reader succeeds through preview and ordinary download without a dedicated download grant in File Store, incident, portal, mail attachment and AI citation routes. A non-reader, wrong tenant or private-note requester receives no content. Clean conversion failure permits eligible download; unscanned/malicious content remains in custody.</w:t>
      </w:r>
    </w:p>
    <w:p>
      <w:r>
        <w:t>V6-T31 Verify catalogue and request-task dependencies, customer scoped approvals, public/private notification templates, a ticket rejected resolution, controlled reopen and one satisfaction survey response. V6-T32 Verify subject-rule dry-run has no create/send effect, duplicate connectors share deduplication, missed delta recovery preserves receipts and an existing-ticket token does not authorise an unrelated sender.</w:t>
      </w:r>
    </w:p>
    <w:p>
      <w:r>
        <w:t>V6-T33 Build the complete dependency manifest and prove no Syncfusion package, script, licence key or vendor editor service remains. Validate Software-based Orca light/dark, keyboard and screen-reader behaviour on the requester and analyst surfaces. Evidence custody controls are tested separately from ordinary file downloading.</w:t>
      </w:r>
    </w:p>
    <w:p>
      <w:bookmarkStart w:id="69" w:name="orca_ch_069"/>
      <w:pPr>
        <w:pStyle w:val="Heading1"/>
        <w:keepNext/>
        <w:pageBreakBefore w:val="0"/>
      </w:pPr>
      <w:r>
        <w:rPr>
          <w:color w:val="000000"/>
        </w:rPr>
        <w:t>ITSM implementation work packages and release mapping</w:t>
      </w:r>
      <w:bookmarkEnd w:id="69"/>
    </w:p>
    <w:p>
      <w:pPr>
        <w:pStyle w:val="Heading2"/>
        <w:keepNext/>
      </w:pPr>
      <w:r>
        <w:rPr>
          <w:color w:val="000000"/>
        </w:rPr>
        <w:t>Release backlog and decisions to close</w:t>
      </w:r>
    </w:p>
    <w:tbl>
      <w:tblPr>
        <w:tblW w:type="auto" w:w="0"/>
        <w:tblLayout w:type="fixed"/>
        <w:tblLook w:firstColumn="1" w:firstRow="1" w:lastColumn="0" w:lastRow="0" w:noHBand="0" w:noVBand="1" w:val="04A0"/>
      </w:tblPr>
      <w:tblGrid>
        <w:gridCol w:w="1296"/>
        <w:gridCol w:w="5040"/>
        <w:gridCol w:w="3744"/>
      </w:tblGrid>
      <w:tr>
        <w:trPr>
          <w:tblHeader/>
          <w:cantSplit/>
          <w:tblHeade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Increment</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Scope</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Release gate</w:t>
            </w:r>
          </w:p>
        </w:tc>
      </w:tr>
      <w:tr>
        <w:trPr>
          <w:cantSplit/>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I0 Contracts and pilot</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Mailbox consent/scope test, UAM/record boundaries, priority/calendar/rule workshop and provider proof.</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Out-of-scope mailbox denied; representative mail replay and type-policy decisions recorded.</w:t>
            </w:r>
          </w:p>
        </w:tc>
      </w:tr>
      <w:tr>
        <w:trPr>
          <w:cantSplit/>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I1 Simplify File Store</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Remove download controls and Syncfusion dependency; retain safe previews, scanning, file read and formats.</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ITSM-A13–ITSM-A14 and File Store regression pass.</w:t>
            </w:r>
          </w:p>
        </w:tc>
      </w:tr>
      <w:tr>
        <w:trPr>
          <w:cantSplit/>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I2 Core ITSM and portal</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M21/M23 incident create/read, board, groups, public/private messages, lifecycle and own-ticket access.</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r>
              <w:t>R06T: portal/basic workflow, ITSM-A07, ITSM-A08a and ITSM-A09, plus isolation. ITSM-A06 mailbox convergence is accepted at R06M; ITSM-A08b shift fallback at R09T after M09.</w:t>
            </w:r>
          </w:p>
        </w:tc>
      </w:tr>
      <w:tr>
        <w:trPr>
          <w:cantSplit/>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I3 Mailbox ingestion</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M22 rules, delta worker, receipts, correlation, optional webhook and monitored retry/replay.</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ITSM-A01–ITSM-A05 and crash recovery pass; no outbound send by default.</w:t>
            </w:r>
          </w:p>
        </w:tc>
      </w:tr>
      <w:tr>
        <w:trPr>
          <w:cantSplit/>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I4 Service operations</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SLA/OLA, escalations, major incidents, requests, catalogue, approvals and tasks.</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t>ITSM-A10–ITSM-A11 and calendar/load tests pass.</w:t>
            </w:r>
          </w:p>
        </w:tc>
      </w:tr>
      <w:tr>
        <w:trPr>
          <w:cantSplit/>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I5 End to end</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M13/M14, knowledge, service/assets, M04 links, reporting, optional authorised mail notifications and DR.</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t>ITSM-A12/ITSM-A15, privacy, support runbooks and complete user acceptance pass.</w:t>
            </w:r>
          </w:p>
        </w:tc>
      </w:tr>
    </w:tbl>
    <w:p>
      <w:pPr>
        <w:spacing w:before="100"/>
      </w:pPr>
      <w:r>
        <w:t>Optimisation, licensing and score releases retain programme precedence. The incident increments above describe order inside that phase; they do not force a new first release of the whole product. M21/M22/M23 extend the complete 23-engine register without renumbering existing engines.</w:t>
      </w:r>
    </w:p>
    <w:p>
      <w:pPr>
        <w:pStyle w:val="Heading3"/>
        <w:keepNext/>
      </w:pPr>
      <w:r>
        <w:rPr>
          <w:color w:val="000000"/>
        </w:rPr>
        <w:t>Onboarding decisions requiring targeted answers</w:t>
      </w:r>
    </w:p>
    <w:p>
      <w:r>
        <w:t>Confirm which mailbox/folders and approved senders will be read; provide example subject rules, exclusions and existing-ticket patterns. Confirm whether all customers use B2B requester onboarding or another identity requirement is needed. Agree groups, service owners, priorities, SLA calendars/targets, pending reasons and resolution acceptance/reopen windows.</w:t>
      </w:r>
    </w:p>
    <w:p>
      <w:r>
        <w:t>Choose initial backlog import policy and expected daily/peak mail and ticket volume. Confirm email sending versus portal-only receipts. Confirm the first catalogue items, approver sources and required problem/change/knowledge depth. Defaults in this document are suggestions until recorded in a tenant configuration decision.</w:t>
      </w:r>
    </w:p>
    <w:p>
      <w:r>
        <w:t>These decisions do not block documenting and building the generic module. They do block enabling a production mailbox, SLA or automatic action without agreed scope. No actual mailbox access, account invitation, sending or infrastructure change is authorised by this requirements document.</w:t>
      </w:r>
    </w:p>
    <w:tbl>
      <w:tblPr>
        <w:tblW w:type="auto" w:w="0"/>
        <w:tblLayout w:type="fixed"/>
        <w:tblLook w:firstColumn="1" w:firstRow="1" w:lastColumn="0" w:lastRow="0" w:noHBand="0" w:noVBand="1" w:val="04A0"/>
      </w:tblPr>
      <w:tblGrid>
        <w:gridCol w:w="2088"/>
        <w:gridCol w:w="7992"/>
      </w:tblGrid>
      <w:tr>
        <w:trPr>
          <w:tblHeader/>
          <w:cantSplit/>
        </w:trPr>
        <w:tc>
          <w:tcPr>
            <w:tcW w:type="dxa" w:w="432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Work package</w:t>
            </w:r>
          </w:p>
        </w:tc>
        <w:tc>
          <w:tcPr>
            <w:tcW w:type="dxa" w:w="432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Required developer output</w:t>
            </w:r>
          </w:p>
        </w:tc>
      </w:tr>
      <w:tr>
        <w:trPr>
          <w:cantSplit/>
        </w:trPr>
        <w:tc>
          <w:tcPr>
            <w:tcW w:type="dxa" w:w="208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 W01</w:t>
            </w:r>
          </w:p>
        </w:tc>
        <w:tc>
          <w:tcPr>
            <w:tcW w:type="dxa" w:w="79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Aggregate schema, number allocation, state transitions, revisions, idempotency and owner-controlled relations.</w:t>
            </w:r>
          </w:p>
        </w:tc>
      </w:tr>
      <w:tr>
        <w:trPr>
          <w:cantSplit/>
        </w:trPr>
        <w:tc>
          <w:tcPr>
            <w:tcW w:type="dxa" w:w="208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M21 W02</w:t>
            </w:r>
          </w:p>
        </w:tc>
        <w:tc>
          <w:tcPr>
            <w:tcW w:type="dxa" w:w="79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Unified work-board projection, group/analyst assignment and M09 lease acceptance.</w:t>
            </w:r>
          </w:p>
        </w:tc>
      </w:tr>
      <w:tr>
        <w:trPr>
          <w:cantSplit/>
        </w:trPr>
        <w:tc>
          <w:tcPr>
            <w:tcW w:type="dxa" w:w="208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 W03</w:t>
            </w:r>
          </w:p>
        </w:tc>
        <w:tc>
          <w:tcPr>
            <w:tcW w:type="dxa" w:w="79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SLA event ledger, calendars/DST, pause/reopen policy, jobs and escalation receipts.</w:t>
            </w:r>
          </w:p>
        </w:tc>
      </w:tr>
      <w:tr>
        <w:trPr>
          <w:cantSplit/>
        </w:trPr>
        <w:tc>
          <w:tcPr>
            <w:tcW w:type="dxa" w:w="208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M21 W04</w:t>
            </w:r>
          </w:p>
        </w:tc>
        <w:tc>
          <w:tcPr>
            <w:tcW w:type="dxa" w:w="79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Request catalogue/forms, approvals, task plan, problem/change/knowledge links and major incidents.</w:t>
            </w:r>
          </w:p>
        </w:tc>
      </w:tr>
      <w:tr>
        <w:trPr>
          <w:cantSplit/>
        </w:trPr>
        <w:tc>
          <w:tcPr>
            <w:tcW w:type="dxa" w:w="208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M22 W01</w:t>
            </w:r>
          </w:p>
        </w:tc>
        <w:tc>
          <w:tcPr>
            <w:tcW w:type="dxa" w:w="79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Scoped Graph consent pilot, mailbox configuration, per-folder delta and optional webhook lifecycle.</w:t>
            </w:r>
          </w:p>
        </w:tc>
      </w:tr>
      <w:tr>
        <w:trPr>
          <w:cantSplit/>
        </w:trPr>
        <w:tc>
          <w:tcPr>
            <w:tcW w:type="dxa" w:w="208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M22 W02</w:t>
            </w:r>
          </w:p>
        </w:tc>
        <w:tc>
          <w:tcPr>
            <w:tcW w:type="dxa" w:w="79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Rule builder/dry-run, receipt ledger, deduplication, threading, retry/dead-letter/replay and health.</w:t>
            </w:r>
          </w:p>
        </w:tc>
      </w:tr>
      <w:tr>
        <w:trPr>
          <w:cantSplit/>
        </w:trPr>
        <w:tc>
          <w:tcPr>
            <w:tcW w:type="dxa" w:w="208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M23 W01</w:t>
            </w:r>
          </w:p>
        </w:tc>
        <w:tc>
          <w:tcPr>
            <w:tcW w:type="dxa" w:w="79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Entra requester entry, My Tickets, incident/request submission and restricted requester DTOs.</w:t>
            </w:r>
          </w:p>
        </w:tc>
      </w:tr>
      <w:tr>
        <w:trPr>
          <w:cantSplit/>
        </w:trPr>
        <w:tc>
          <w:tcPr>
            <w:tcW w:type="dxa" w:w="208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M23 W02</w:t>
            </w:r>
          </w:p>
        </w:tc>
        <w:tc>
          <w:tcPr>
            <w:tcW w:type="dxa" w:w="79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Public messages, attachments, approvals, resolution acceptance/reopen and optional satisfaction survey.</w:t>
            </w:r>
          </w:p>
        </w:tc>
      </w:tr>
    </w:tbl>
    <w:p>
      <w:pPr>
        <w:spacing w:before="100"/>
      </w:pPr>
      <w:r>
        <w:t>Canonical release mapping: I0 → R00/R01; I1 → R05; I2 → R06T; I3 → R06M; I4 → R09T; I5 → R12. I identifiers describe work increments only. The release register below is the programme authority; no module can be called complete while its recorded later completion gate remains open.</w:t>
      </w:r>
    </w:p>
    <w:p>
      <w:bookmarkStart w:id="70" w:name="orca_ch_070"/>
      <w:pPr>
        <w:pStyle w:val="Heading1"/>
        <w:keepNext/>
        <w:pageBreakBefore w:val="0"/>
      </w:pPr>
      <w:r>
        <w:rPr>
          <w:color w:val="000000"/>
        </w:rPr>
        <w:t>Programme release milestone plan</w:t>
      </w:r>
      <w:bookmarkEnd w:id="70"/>
    </w:p>
    <w:p>
      <w:r>
        <w:t>This schedule is integrated into the master specification. R00 to R12 retain existing release identifiers; R06T, R06M and R09T add independently accepted ITSM capabilities inside the incident/service phase. Dates, named owners, staffing and duration require programme planning; identifiers are dependency and evidence gates rather than a promised calendar.</w:t>
      </w:r>
    </w:p>
    <w:p>
      <w:pPr>
        <w:pStyle w:val="Heading2"/>
        <w:keepNext/>
        <w:pageBreakBefore/>
      </w:pPr>
      <w:r>
        <w:rPr>
          <w:color w:val="000000"/>
        </w:rPr>
        <w:t>Milestone register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5472"/>
        <w:gridCol w:w="3816"/>
      </w:tblGrid>
      <w:tr>
        <w:trPr>
          <w:cantSplit/>
          <w:tblHeader/>
          <w:tblHeader/>
          <w:cantSplit/>
        </w:trPr>
        <w:tc>
          <w:tcPr>
            <w:tcW w:type="dxa" w:w="936"/>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Release</w:t>
            </w:r>
          </w:p>
        </w:tc>
        <w:tc>
          <w:tcPr>
            <w:tcW w:type="dxa" w:w="5472"/>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Milestone</w:t>
            </w:r>
          </w:p>
        </w:tc>
        <w:tc>
          <w:tcPr>
            <w:tcW w:type="dxa" w:w="3816"/>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Depends on</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R00</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Programme baseline and decisions</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None</w:t>
            </w:r>
          </w:p>
        </w:tc>
      </w:tr>
      <w:tr>
        <w:trPr>
          <w:cantSplit/>
          <w:cantSplit/>
        </w:trPr>
        <w:tc>
          <w:tcPr>
            <w:tcW w:type="dxa" w:w="9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R01</w:t>
            </w:r>
          </w:p>
        </w:tc>
        <w:tc>
          <w:tcPr>
            <w:tcW w:type="dxa" w:w="54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Platform identity and tenant isolation</w:t>
            </w:r>
          </w:p>
        </w:tc>
        <w:tc>
          <w:tcPr>
            <w:tcW w:type="dxa" w:w="38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R00</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R02</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Azure optimisation scores and dashboards</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R01</w:t>
            </w:r>
          </w:p>
        </w:tc>
      </w:tr>
      <w:tr>
        <w:trPr>
          <w:cantSplit/>
          <w:cantSplit/>
        </w:trPr>
        <w:tc>
          <w:tcPr>
            <w:tcW w:type="dxa" w:w="9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R03</w:t>
            </w:r>
          </w:p>
        </w:tc>
        <w:tc>
          <w:tcPr>
            <w:tcW w:type="dxa" w:w="54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Licensing identity and DevOps governance</w:t>
            </w:r>
          </w:p>
        </w:tc>
        <w:tc>
          <w:tcPr>
            <w:tcW w:type="dxa" w:w="38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R01; R02 available for shared dashboards</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R04</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First business release acceptance</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R02 and R03</w:t>
            </w:r>
          </w:p>
        </w:tc>
      </w:tr>
      <w:tr>
        <w:trPr>
          <w:cantSplit/>
          <w:cantSplit/>
        </w:trPr>
        <w:tc>
          <w:tcPr>
            <w:tcW w:type="dxa" w:w="9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R05</w:t>
            </w:r>
          </w:p>
        </w:tc>
        <w:tc>
          <w:tcPr>
            <w:tcW w:type="dxa" w:w="54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File Store and agentless asset context</w:t>
            </w:r>
          </w:p>
        </w:tc>
        <w:tc>
          <w:tcPr>
            <w:tcW w:type="dxa" w:w="38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R04</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R06</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Unified incident management and Sentinel</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R04 R05; M01 and M02 active</w:t>
            </w:r>
          </w:p>
        </w:tc>
      </w:tr>
      <w:tr>
        <w:trPr>
          <w:cantSplit/>
          <w:cantSplit/>
        </w:trPr>
        <w:tc>
          <w:tcPr>
            <w:tcW w:type="dxa" w:w="9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R07</w:t>
            </w:r>
          </w:p>
        </w:tc>
        <w:tc>
          <w:tcPr>
            <w:tcW w:type="dxa" w:w="54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Defender and complete bidirectional incidents</w:t>
            </w:r>
          </w:p>
        </w:tc>
        <w:tc>
          <w:tcPr>
            <w:tcW w:type="dxa" w:w="38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R06</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R08</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ATTACK controls team shifts and routing</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R07; M07 available</w:t>
            </w:r>
          </w:p>
        </w:tc>
      </w:tr>
      <w:tr>
        <w:trPr>
          <w:cantSplit/>
          <w:cantSplit/>
        </w:trPr>
        <w:tc>
          <w:tcPr>
            <w:tcW w:type="dxa" w:w="9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R09</w:t>
            </w:r>
          </w:p>
        </w:tc>
        <w:tc>
          <w:tcPr>
            <w:tcW w:type="dxa" w:w="54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Change Request and Problem Management</w:t>
            </w:r>
          </w:p>
        </w:tc>
        <w:tc>
          <w:tcPr>
            <w:tcW w:type="dxa" w:w="38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R07 R08</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R10A</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Local AI budgets and library investigation</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R05 R07 R09; M11 must precede enabled M10 usage</w:t>
            </w:r>
          </w:p>
        </w:tc>
      </w:tr>
      <w:tr>
        <w:trPr>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R10B</w:t>
            </w:r>
          </w:p>
        </w:tc>
        <w:tc>
          <w:tcPr>
            <w:tcW w:type="dxa" w:w="54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Web research cloud AI and advanced views</w:t>
            </w:r>
          </w:p>
        </w:tc>
        <w:tc>
          <w:tcPr>
            <w:tcW w:type="dxa" w:w="381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R10A; independent R11 scheduling</w:t>
            </w:r>
          </w:p>
        </w:tc>
      </w:tr>
      <w:tr>
        <w:trPr>
          <w:cantSplit/>
          <w:cantSplit/>
        </w:trPr>
        <w:tc>
          <w:tcPr>
            <w:tcW w:type="dxa" w:w="9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R11</w:t>
            </w:r>
          </w:p>
        </w:tc>
        <w:tc>
          <w:tcPr>
            <w:tcW w:type="dxa" w:w="54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Automated response and remaining adapters</w:t>
            </w:r>
          </w:p>
        </w:tc>
        <w:tc>
          <w:tcPr>
            <w:tcW w:type="dxa" w:w="38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R07 R08 R09; R10 for AI assisted proposals only</w:t>
            </w:r>
          </w:p>
        </w:tc>
      </w:tr>
      <w:tr>
        <w:trPr>
          <w:cantSplit/>
          <w:cantSplit/>
        </w:trPr>
        <w:tc>
          <w:tcPr>
            <w:tcW w:type="dxa" w:w="93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R12</w:t>
            </w:r>
          </w:p>
        </w:tc>
        <w:tc>
          <w:tcPr>
            <w:tcW w:type="dxa" w:w="54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Full programme production acceptance</w:t>
            </w:r>
          </w:p>
        </w:tc>
        <w:tc>
          <w:tcPr>
            <w:tcW w:type="dxa" w:w="38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R01–R11 including R10A/R10B, R06T, R06M and R09T accepted; all 23 engines and required integrated journeys complete.</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R06T</w:t>
            </w:r>
          </w:p>
        </w:tc>
        <w:tc>
          <w:tcPr>
            <w:tcW w:type="dxa" w:w="54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ITSM core and requester portal</w:t>
            </w:r>
          </w:p>
        </w:tc>
        <w:tc>
          <w:tcPr>
            <w:tcW w:type="dxa" w:w="381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R01; accepted M03 for attachments</w:t>
            </w:r>
          </w:p>
        </w:tc>
      </w:tr>
      <w:tr>
        <w:trPr>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R06M</w:t>
            </w:r>
          </w:p>
        </w:tc>
        <w:tc>
          <w:tcPr>
            <w:tcW w:type="dxa" w:w="54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Mailbox intake</w:t>
            </w:r>
          </w:p>
        </w:tc>
        <w:tc>
          <w:tcPr>
            <w:tcW w:type="dxa" w:w="381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M21 command contract; R06T normally</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R09T</w:t>
            </w:r>
          </w:p>
        </w:tc>
        <w:tc>
          <w:tcPr>
            <w:tcW w:type="dxa" w:w="54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Advanced ITSM service operations</w:t>
            </w:r>
          </w:p>
        </w:tc>
        <w:tc>
          <w:tcPr>
            <w:tcW w:type="dxa" w:w="381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R06T; M13/M14 where required</w:t>
            </w:r>
          </w:p>
        </w:tc>
      </w:tr>
    </w:tbl>
    <w:p>
      <w:pPr>
        <w:pStyle w:val="Heading3"/>
        <w:keepNext/>
      </w:pPr>
      <w:r>
        <w:rPr>
          <w:color w:val="000000"/>
        </w:rPr>
        <w:t>Suggested planning method</w:t>
      </w:r>
    </w:p>
    <w:p>
      <w:r>
        <w:t>Use two week planning iterations as an optional working cadence, then estimate each module from researched stories and team capacity. Set dates only after the API proofs and consent prerequisites are known. No dependency in this plan implies that two modules must share a deployment or that all tenants must enable them together.</w:t>
      </w:r>
    </w:p>
    <w:p>
      <w:r>
        <w:t>The critical delivery path is R00 to R01 to R02 and R03 to R04, followed by the operational milestones through R12. Optional enrichment must not turn the Priority 1 engines into incident dependent features. R10 AI assisted investigation can be delivered independently from R11 deterministic response orchestration.</w:t>
      </w:r>
    </w:p>
    <w:p>
      <w:pPr>
        <w:pStyle w:val="Heading2"/>
        <w:keepNext/>
        <w:pageBreakBefore/>
      </w:pPr>
      <w:r>
        <w:rPr>
          <w:color w:val="000000"/>
        </w:rPr>
        <w:t>R00 Programme baseline and decisions</w:t>
      </w:r>
    </w:p>
    <w:p>
      <w:r>
        <w:t>Stage: Foundation | Status: Planned</w:t>
      </w:r>
    </w:p>
    <w:p>
      <w:r>
        <w:t>Accountable owner: Product owner with solution architect. Entry dependencies: None.</w:t>
      </w:r>
    </w:p>
    <w:p>
      <w:pPr>
        <w:pStyle w:val="Heading3"/>
        <w:keepNext/>
      </w:pPr>
      <w:r>
        <w:rPr>
          <w:color w:val="000000"/>
        </w:rPr>
        <w:t>Required delivery</w:t>
      </w:r>
    </w:p>
    <w:p>
      <w:pPr>
        <w:pStyle w:val="ListBullet"/>
      </w:pPr>
      <w:r>
        <w:t>Baseline this complete master against the 23 original engines plus Phase 1 M25 and Phase 1 M24. Record confirmed decisions separately from pending implementation choices and reported build claims. Map requirements, tasks, tests and source capability to an owner and milestone; optimisation, licensing and scores retain first-business-release priority.</w:t>
      </w:r>
    </w:p>
    <w:p>
      <w:pPr>
        <w:pStyle w:val="ListBullet"/>
      </w:pPr>
      <w:r>
        <w:t>Apply MIT UI code with the SOC-D018 unmodified Apache/OFL asset exceptions; non-UI packages follow SOC-D044 with obligations and notices. Record Windows App Service Atlas customer/operator store separation Qdrant Azure VM operator-directory guests Permission Manager LocalOnly-first and later Azure OpenAI/web acceptance.</w:t>
      </w:r>
    </w:p>
    <w:p>
      <w:pPr>
        <w:pStyle w:val="ListBullet"/>
      </w:pPr>
      <w:r>
        <w:t>Agree target scale environments data residency retention availability RPO RTO performance accessibility pilot duration and defect thresholds. Plan team capacity and dates only after this assessment.</w:t>
      </w:r>
    </w:p>
    <w:p>
      <w:pPr>
        <w:pStyle w:val="Heading3"/>
        <w:keepNext/>
      </w:pPr>
      <w:r>
        <w:rPr>
          <w:color w:val="000000"/>
        </w:rPr>
        <w:t>Exit criteria</w:t>
      </w:r>
    </w:p>
    <w:p>
      <w:pPr>
        <w:pStyle w:val="ListBullet"/>
      </w:pPr>
      <w:r>
        <w:t>Every required outcome has an owner acceptance test and milestone; no unowned deferred scope remains.</w:t>
      </w:r>
    </w:p>
    <w:p>
      <w:pPr>
        <w:pStyle w:val="ListBullet"/>
      </w:pPr>
      <w:r>
        <w:t>Access and representative data are available or have tracked prerequisites. Core licence identity and data-placement rulings are resolved; pending structural defaults in V5-D01 to V5-D12 need explicit implementation review before dependent acceptance.</w:t>
      </w:r>
    </w:p>
    <w:p>
      <w:pPr>
        <w:pStyle w:val="Heading3"/>
        <w:keepNext/>
      </w:pPr>
      <w:r>
        <w:rPr>
          <w:color w:val="000000"/>
        </w:rPr>
        <w:t>Evidence and rollout</w:t>
      </w:r>
    </w:p>
    <w:p>
      <w:r>
        <w:t>Baseline register design decisions source capability matrix staffing plan and acceptance targets. Promote an approved plan into R01; no production capability is claimed.</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R01 Platform identity and tenant isolation</w:t>
      </w:r>
    </w:p>
    <w:p>
      <w:r>
        <w:t>Stage: Foundation | Status: Planned</w:t>
      </w:r>
    </w:p>
    <w:p>
      <w:r>
        <w:t>Accountable owner: Platform lead and UAM lead. Entry dependencies: R00.</w:t>
      </w:r>
    </w:p>
    <w:p>
      <w:pPr>
        <w:pStyle w:val="Heading3"/>
        <w:keepNext/>
      </w:pPr>
      <w:r>
        <w:rPr>
          <w:color w:val="000000"/>
        </w:rPr>
        <w:t>Required delivery</w:t>
      </w:r>
    </w:p>
    <w:p>
      <w:pPr>
        <w:pStyle w:val="ListBullet"/>
      </w:pPr>
      <w:r>
        <w:t>Deliver M01 and M02 in one Windows App Service Blazor Server project with Radzen and adapted Permission Manager. Portal identity uses one operator issuer B2B guests role groups and tenant groups. Bind customer Atlas operational/content databases and operator-held trusted per-tenant records; Qdrant runs on an Azure VM.</w:t>
      </w:r>
    </w:p>
    <w:p>
      <w:pPr>
        <w:pStyle w:val="ListBullet"/>
      </w:pPr>
      <w:r>
        <w:t>Implement Active ReadOnly Suspended and Quarantined states, immutable tenant code per-call resolution marker and cluster validation source ownership registry and scoped audit. Protect operator-side commands approvals internal notes budgets jobs and receipts from customer database administrators. Prove Intent/Outcome recovery across clusters.</w:t>
      </w:r>
    </w:p>
    <w:p>
      <w:pPr>
        <w:pStyle w:val="ListBullet"/>
      </w:pPr>
      <w:r>
        <w:t>Establish versioned local integration gates source ownership and principal-fabrication checks contract fixtures migration compatibility licence inventory and user/developer guides. Reader and Executor use separate Read/Respond identities; Executor dispatch defaults require structural review. Release means acceptance and enablement within a host deployment.</w:t>
      </w:r>
    </w:p>
    <w:p>
      <w:pPr>
        <w:pStyle w:val="Heading3"/>
        <w:keepNext/>
      </w:pPr>
      <w:r>
        <w:rPr>
          <w:color w:val="000000"/>
        </w:rPr>
        <w:t>Exit criteria</w:t>
      </w:r>
    </w:p>
    <w:p>
      <w:pPr>
        <w:pStyle w:val="ListBullet"/>
      </w:pPr>
      <w:r>
        <w:t>Deny wrong issuer guest operator roles forged tenant jobs subject denial missing membership and customer-altered authorisation data. Test role-scoped denial three-state overrides Super Admin no bypass request-derived identity and local entitlement cache invalidation.</w:t>
      </w:r>
    </w:p>
    <w:p>
      <w:pPr>
        <w:pStyle w:val="ListBullet"/>
      </w:pPr>
      <w:r>
        <w:t>Prove production transactions without fallback operator audit export outbox restore quarantine and proposed four-hour/fifteen-minute operator recovery targets. Record customer-held recovery separately. Verify or re-run reported F1/F2 evidence before this gate.</w:t>
      </w:r>
    </w:p>
    <w:p>
      <w:pPr>
        <w:pStyle w:val="Heading3"/>
        <w:keepNext/>
      </w:pPr>
      <w:r>
        <w:rPr>
          <w:color w:val="000000"/>
        </w:rPr>
        <w:t>Evidence and rollout</w:t>
      </w:r>
    </w:p>
    <w:p>
      <w:r>
        <w:t>M01 and M02 acceptance suites tenant isolation report restore evidence permission matrix and operational runbook. Enable for internal validation then pilot tenants; revert a failed module version with compatible data recovery.</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R02 Azure optimisation scores and dashboards</w:t>
      </w:r>
    </w:p>
    <w:p>
      <w:r>
        <w:t>Stage: Priority 1A | Status: Planned</w:t>
      </w:r>
    </w:p>
    <w:p>
      <w:r>
        <w:t>Accountable owner: FinOps lead with reporting and posture leads. Entry dependencies: R01.</w:t>
      </w:r>
    </w:p>
    <w:p>
      <w:pPr>
        <w:pStyle w:val="Heading3"/>
        <w:keepNext/>
      </w:pPr>
      <w:r>
        <w:rPr>
          <w:color w:val="000000"/>
        </w:rPr>
        <w:t>Required delivery</w:t>
      </w:r>
    </w:p>
    <w:p>
      <w:pPr>
        <w:pStyle w:val="ListBullet"/>
      </w:pPr>
      <w:r>
        <w:t>Release M17 read only spend actual and amortised views forecasts allocation budgets and all accessible native cost recommendations. Add evidence based rightsizing idle and orphaned resource reviews and commitment comparisons.</w:t>
      </w:r>
    </w:p>
    <w:p>
      <w:pPr>
        <w:pStyle w:val="ListBullet"/>
      </w:pPr>
      <w:r>
        <w:t>Release M20 supported Microsoft score snapshots controls and recommendations. Separate subscription classic Secure Score Advisor categories M365 tenant score Policy compliance and any proven risk based score source.</w:t>
      </w:r>
    </w:p>
    <w:p>
      <w:pPr>
        <w:pStyle w:val="ListBullet"/>
      </w:pPr>
      <w:r>
        <w:t>Release the M15 executive and technical dashboards with authorised filters source freshness coverage trends and drilldown. Scores and finance are usable without incidents or Sentinel.</w:t>
      </w:r>
    </w:p>
    <w:p>
      <w:pPr>
        <w:pStyle w:val="Heading3"/>
        <w:keepNext/>
      </w:pPr>
      <w:r>
        <w:rPr>
          <w:color w:val="000000"/>
        </w:rPr>
        <w:t>Exit criteria</w:t>
      </w:r>
    </w:p>
    <w:p>
      <w:pPr>
        <w:pStyle w:val="ListBullet"/>
      </w:pPr>
      <w:r>
        <w:t>Cost totals reconcile to matching customer billing scope period currency and cost basis; mutually exclusive benefits are not added twice. Existing commitment capacity savings are distinguished from bill reduction.</w:t>
      </w:r>
    </w:p>
    <w:p>
      <w:pPr>
        <w:pStyle w:val="ListBullet"/>
      </w:pPr>
      <w:r>
        <w:t>Score samples match the portal for model scope and observation time or have explained differences. No missing source displays as zero healthy or compliant. Dashboard exports respect the matrix.</w:t>
      </w:r>
    </w:p>
    <w:p>
      <w:pPr>
        <w:pStyle w:val="Heading3"/>
        <w:keepNext/>
      </w:pPr>
      <w:r>
        <w:rPr>
          <w:color w:val="000000"/>
        </w:rPr>
        <w:t>Evidence and rollout</w:t>
      </w:r>
    </w:p>
    <w:p>
      <w:r>
        <w:t>M17 M20 and applicable M15 acceptance evidence reconciliation samples native versus analytical labels and dashboard review. Enable read only in a pilot; disable a failing collector while retaining timestamped last known facts.</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R03 Licensing identity and DevOps governance</w:t>
      </w:r>
    </w:p>
    <w:p>
      <w:r>
        <w:t>Stage: Priority 1B | Status: Planned</w:t>
      </w:r>
    </w:p>
    <w:p>
      <w:r>
        <w:t>Accountable owner: Identity and M365 lead with DevOps lead. Entry dependencies: R01; R02 available for shared dashboards.</w:t>
      </w:r>
    </w:p>
    <w:p>
      <w:pPr>
        <w:pStyle w:val="Heading3"/>
        <w:keepNext/>
      </w:pPr>
      <w:r>
        <w:rPr>
          <w:color w:val="000000"/>
        </w:rPr>
        <w:t>Required delivery</w:t>
      </w:r>
    </w:p>
    <w:p>
      <w:pPr>
        <w:pStyle w:val="ListBullet"/>
      </w:pPr>
      <w:r>
        <w:t>Release M18 customer-directory licence and activity inventory through consented source connectors, distinct from operator-directory portal guest identity. Preserve SKU service plan capacity assignment source successful/noninteractive/missing evidence and review exceptions.</w:t>
      </w:r>
    </w:p>
    <w:p>
      <w:pPr>
        <w:pStyle w:val="ListBullet"/>
      </w:pPr>
      <w:r>
        <w:t>Cover M365 workload usage collaboration hygiene owner attestation exceptions contract rates renewal windows and retention constraints. Unknown concealed or absent activity is not proof of inactivity.</w:t>
      </w:r>
    </w:p>
    <w:p>
      <w:pPr>
        <w:pStyle w:val="ListBullet"/>
      </w:pPr>
      <w:r>
        <w:t>Release M19 organisation access entitlements pipeline and agent efficiency retention service connections branch policy and delivery governance findings. Add both engines to executive and technical views.</w:t>
      </w:r>
    </w:p>
    <w:p>
      <w:pPr>
        <w:pStyle w:val="Heading3"/>
        <w:keepNext/>
      </w:pPr>
      <w:r>
        <w:rPr>
          <w:color w:val="000000"/>
        </w:rPr>
        <w:t>Exit criteria</w:t>
      </w:r>
    </w:p>
    <w:p>
      <w:pPr>
        <w:pStyle w:val="ListBullet"/>
      </w:pPr>
      <w:r>
        <w:t>Service emergency automation leave and legal hold cases are protected. Group based licensing cannot be bypassed through an inappropriate direct assignment change. Seat reuse is not reported as guaranteed invoice reduction.</w:t>
      </w:r>
    </w:p>
    <w:p>
      <w:pPr>
        <w:pStyle w:val="ListBullet"/>
      </w:pPr>
      <w:r>
        <w:t>DevOps findings preserve organisation identity and entitlement source; automated workloads are not treated as unused from a human access date alone. Financial findings use verified prices or mark value unknown.</w:t>
      </w:r>
    </w:p>
    <w:p>
      <w:pPr>
        <w:pStyle w:val="Heading3"/>
        <w:keepNext/>
      </w:pPr>
      <w:r>
        <w:rPr>
          <w:color w:val="000000"/>
        </w:rPr>
        <w:t>Evidence and rollout</w:t>
      </w:r>
    </w:p>
    <w:p>
      <w:r>
        <w:t>M18 M19 applicable M15 tests privacy review entitlement reconciliation exception cases and named user access tests. Pilot read only with owners; no automatic removal purchase or production modification is enabled.</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R04 First business release acceptance</w:t>
      </w:r>
    </w:p>
    <w:p>
      <w:r>
        <w:t>Stage: Priority 1 production gate | Status: Planned</w:t>
      </w:r>
    </w:p>
    <w:p>
      <w:r>
        <w:t>Accountable owner: Product owner with CFO and CTO delegates. Entry dependencies: R02 and R03.</w:t>
      </w:r>
    </w:p>
    <w:p>
      <w:pPr>
        <w:pStyle w:val="Heading3"/>
        <w:keepNext/>
      </w:pPr>
      <w:r>
        <w:rPr>
          <w:color w:val="000000"/>
        </w:rPr>
        <w:t>Required delivery</w:t>
      </w:r>
    </w:p>
    <w:p>
      <w:pPr>
        <w:pStyle w:val="ListBullet"/>
      </w:pPr>
      <w:r>
        <w:t>Accept the optimisation licensing governance and score capability as the first production business release. Include accessible executive summaries and technical investigation views for all enabled datasets.</w:t>
      </w:r>
    </w:p>
    <w:p>
      <w:pPr>
        <w:pStyle w:val="ListBullet"/>
      </w:pPr>
      <w:r>
        <w:t>Complete tenant onboarding throttling read connector isolation monitoring support and exports. Bring forward the M16 notification slice for Teams bot consent installation conversation binding delivery receipts and authenticated acknowledgement; later M16 source adapters remain R11.</w:t>
      </w:r>
    </w:p>
    <w:p>
      <w:pPr>
        <w:pStyle w:val="ListBullet"/>
      </w:pPr>
      <w:r>
        <w:t>Resolve pilot findings and obtain measured stakeholder acceptance for per-customer executive/technical dashboards. Incident work begins after this gate. Cross-customer dashboard aggregation is later scoped work; multi-subscription views for each authorised customer are included now.</w:t>
      </w:r>
    </w:p>
    <w:p>
      <w:pPr>
        <w:pStyle w:val="Heading3"/>
        <w:keepNext/>
      </w:pPr>
      <w:r>
        <w:rPr>
          <w:color w:val="000000"/>
        </w:rPr>
        <w:t>Exit criteria</w:t>
      </w:r>
    </w:p>
    <w:p>
      <w:pPr>
        <w:pStyle w:val="ListBullet"/>
      </w:pPr>
      <w:r>
        <w:t>All R02 and R03 required tests pass and pilot observation meets R00 service targets. No unresolved critical security defect remains; any other release blocking defect follows the agreed gate policy.</w:t>
      </w:r>
    </w:p>
    <w:p>
      <w:pPr>
        <w:pStyle w:val="ListBullet"/>
      </w:pPr>
      <w:r>
        <w:t>Each recommendation has scope source date owner evidence uncertainty and review state. Savings estimates approvals implementation and realised financial effects are distinct. Stakeholders accept the dashboards and coverage register.</w:t>
      </w:r>
    </w:p>
    <w:p>
      <w:pPr>
        <w:pStyle w:val="Heading3"/>
        <w:keepNext/>
      </w:pPr>
      <w:r>
        <w:rPr>
          <w:color w:val="000000"/>
        </w:rPr>
        <w:t>Evidence and rollout</w:t>
      </w:r>
    </w:p>
    <w:p>
      <w:r>
        <w:t>Business acceptance record security review operational readiness checklist scoped release notes and rollback rehearsal. Roll out tenant by tenant with a stop condition for isolation data accuracy or source permission failures.</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R05 File Store and agentless asset context</w:t>
      </w:r>
    </w:p>
    <w:p>
      <w:r>
        <w:t>Stage: Operations foundation after Priority 1 | Status: Planned</w:t>
      </w:r>
    </w:p>
    <w:p>
      <w:r>
        <w:t>Accountable owner: Content services lead and asset lead. Entry dependencies: R04.</w:t>
      </w:r>
    </w:p>
    <w:p>
      <w:pPr>
        <w:pStyle w:val="Heading3"/>
        <w:keepNext/>
      </w:pPr>
      <w:r>
        <w:rPr>
          <w:color w:val="000000"/>
        </w:rPr>
        <w:t>Required delivery</w:t>
      </w:r>
    </w:p>
    <w:p>
      <w:pPr>
        <w:pStyle w:val="ListBullet"/>
      </w:pPr>
      <w:r>
        <w:t>Release M03 searchable standalone File Store and incident-ready links with Blob evidence per tenant. Defender scanning is asynchronous with remediation off; retain MaliciousEvidence and NotScanned custody, disable preview extraction indexing and AI for unsafe files, and allow only scoped wrapped custodian export.</w:t>
      </w:r>
    </w:p>
    <w:p>
      <w:pPr>
        <w:pStyle w:val="ListBullet"/>
      </w:pPr>
      <w:r>
        <w:t>Release M07 asset identity reconciliation and inventory using existing Azure directory Defender Sentinel and other permitted datasets. No additional endpoint agent is required.</w:t>
      </w:r>
    </w:p>
    <w:p>
      <w:pPr>
        <w:pStyle w:val="ListBullet"/>
      </w:pPr>
      <w:r>
        <w:t>Provide provenance freshness duplicate handling confidence owner criticality and lifecycle history; connect assets and files to optimisation findings where available.</w:t>
      </w:r>
    </w:p>
    <w:p>
      <w:pPr>
        <w:pStyle w:val="Heading3"/>
        <w:keepNext/>
      </w:pPr>
      <w:r>
        <w:rPr>
          <w:color w:val="000000"/>
        </w:rPr>
        <w:t>Exit criteria</w:t>
      </w:r>
    </w:p>
    <w:p>
      <w:pPr>
        <w:pStyle w:val="ListBullet"/>
      </w:pPr>
      <w:r>
        <w:t>Test delayed duplicate missing and spoofed scan events, private data paths versus supported scan-result delivery and files outside scanning support. No tags-only or passthrough Clean verdict. Core files/search work without M10/M11; AI indexing stays unavailable until its later gate.</w:t>
      </w:r>
    </w:p>
    <w:p>
      <w:pPr>
        <w:pStyle w:val="ListBullet"/>
      </w:pPr>
      <w:r>
        <w:t>Asset merge and split scenarios preserve source identities and history. Missing or stale observations do not immediately delete assets; partial inventory coverage is explicit.</w:t>
      </w:r>
    </w:p>
    <w:p>
      <w:pPr>
        <w:pStyle w:val="Heading3"/>
        <w:keepNext/>
      </w:pPr>
      <w:r>
        <w:rPr>
          <w:color w:val="000000"/>
        </w:rPr>
        <w:t>Evidence and rollout</w:t>
      </w:r>
    </w:p>
    <w:p>
      <w:r>
        <w:t>M03 M07 acceptance tests evidence hashes search ACL tests restore and reconciliation samples. Pilot repository and inventory independently; pause ingestion on scan failure without expanding access.</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R06 Unified incident management and Sentinel</w:t>
      </w:r>
    </w:p>
    <w:p>
      <w:r>
        <w:t>Stage: Priority 2 incident delivery | Status: Planned</w:t>
      </w:r>
    </w:p>
    <w:p>
      <w:r>
        <w:t>Accountable owner: SOC workflow lead and Sentinel connector lead. Entry dependencies: R04 R05; M01 and M02 active.</w:t>
      </w:r>
    </w:p>
    <w:p>
      <w:pPr>
        <w:pStyle w:val="Heading3"/>
        <w:keepNext/>
      </w:pPr>
      <w:r>
        <w:rPr>
          <w:color w:val="000000"/>
        </w:rPr>
        <w:t>Required delivery</w:t>
      </w:r>
    </w:p>
    <w:p>
      <w:pPr>
        <w:pStyle w:val="ListBullet"/>
      </w:pPr>
      <w:r>
        <w:t>Release M04 unified canonical incidents lifecycle severity classification evidence timeline comments ownership and NIST aligned handling. Support manual entry and incident File Store access.</w:t>
      </w:r>
    </w:p>
    <w:p>
      <w:pPr>
        <w:pStyle w:val="ListBullet"/>
      </w:pPr>
      <w:r>
        <w:t>Release M05 using existing Sentinel aggregation. Choose Graph unified or native SecurityInsights routes from proven coverage; do not rebuild the Sentinel data source collector catalogue.</w:t>
      </w:r>
    </w:p>
    <w:p>
      <w:pPr>
        <w:pStyle w:val="ListBullet"/>
      </w:pPr>
      <w:r>
        <w:t>Implement tenant/connector/event compound inbox keys field ownership redirected aliases unknown enum handling and operator-confirmed cross-store events. Incident FileReference links belong to M03; no duplicate M04 evidence store. Respond authority handles supported remote writes after Read reconciliation.</w:t>
      </w:r>
    </w:p>
    <w:p>
      <w:pPr>
        <w:pStyle w:val="Heading3"/>
        <w:keepNext/>
      </w:pPr>
      <w:r>
        <w:rPr>
          <w:color w:val="000000"/>
        </w:rPr>
        <w:t>Exit criteria</w:t>
      </w:r>
    </w:p>
    <w:p>
      <w:pPr>
        <w:pStyle w:val="ListBullet"/>
      </w:pPr>
      <w:r>
        <w:t>Replayed duplicated late and out of order events produce one canonical source link. Manual and API created Sentinel cases workspace exceptions and native synchronisation overlaps are tested.</w:t>
      </w:r>
    </w:p>
    <w:p>
      <w:pPr>
        <w:pStyle w:val="ListBullet"/>
      </w:pPr>
      <w:r>
        <w:t>Supported write back is confirmed remotely with conflict and retry behaviour; unsupported fields are explicit. Internal notes never export as source visible comments. Incident attachment search preserves file ACLs.</w:t>
      </w:r>
    </w:p>
    <w:p>
      <w:pPr>
        <w:pStyle w:val="Heading3"/>
        <w:keepNext/>
      </w:pPr>
      <w:r>
        <w:rPr>
          <w:color w:val="000000"/>
        </w:rPr>
        <w:t>Evidence and rollout</w:t>
      </w:r>
    </w:p>
    <w:p>
      <w:r>
        <w:t>M04 M05 tests source coverage register field mapping NIST workflow demonstration replay and remote confirmation evidence. Start with read only synchronisation then enable validated writes per tenant; pause outbound processing on mapping failure.</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R07 Defender and complete bidirectional incidents</w:t>
      </w:r>
    </w:p>
    <w:p>
      <w:r>
        <w:t>Stage: Priority 2 source completion | Status: Planned</w:t>
      </w:r>
    </w:p>
    <w:p>
      <w:r>
        <w:t>Accountable owner: Defender connector lead and SOC workflow lead. Entry dependencies: R06.</w:t>
      </w:r>
    </w:p>
    <w:p>
      <w:pPr>
        <w:pStyle w:val="Heading3"/>
        <w:keepNext/>
      </w:pPr>
      <w:r>
        <w:rPr>
          <w:color w:val="000000"/>
        </w:rPr>
        <w:t>Required delivery</w:t>
      </w:r>
    </w:p>
    <w:p>
      <w:pPr>
        <w:pStyle w:val="ListBullet"/>
      </w:pPr>
      <w:r>
        <w:t>Release M06 Graph incidents alerts and hunting plus verified native inventory and machine actions. No native hunting route is built. Handle primary workspace fallback explicitly with proven scope or refusal. Defender-only onboarding remains supported without Sentinel.</w:t>
      </w:r>
    </w:p>
    <w:p>
      <w:pPr>
        <w:pStyle w:val="ListBullet"/>
      </w:pPr>
      <w:r>
        <w:t>Complete full bidirectional incident synchronisation across every supported source field and workflow. Include assignment status severity classification comments tags closure reopen and native merges where provider capabilities permit.</w:t>
      </w:r>
    </w:p>
    <w:p>
      <w:pPr>
        <w:pStyle w:val="ListBullet"/>
      </w:pPr>
      <w:r>
        <w:t>Reconcile Sentinel Defender native synchronisation and the local canonical record without loops or duplicate incidents. Expand M15 technical incident queues source health and lag reporting.</w:t>
      </w:r>
    </w:p>
    <w:p>
      <w:pPr>
        <w:pStyle w:val="Heading3"/>
        <w:keepNext/>
      </w:pPr>
      <w:r>
        <w:rPr>
          <w:color w:val="000000"/>
        </w:rPr>
        <w:t>Exit criteria</w:t>
      </w:r>
    </w:p>
    <w:p>
      <w:pPr>
        <w:pStyle w:val="ListBullet"/>
      </w:pPr>
      <w:r>
        <w:t>Test concurrent edits native merges redirected alias targets awaitingAction source ownership exception comments provider outages pagination and workspace scope. A local status accepted on read is not necessarily writable. Unknown results require read back before any destructive reissue.</w:t>
      </w:r>
    </w:p>
    <w:p>
      <w:pPr>
        <w:pStyle w:val="ListBullet"/>
      </w:pPr>
      <w:r>
        <w:t>Source closure is not treated as successful local closure until required evidence and gates pass. Every unsupported operation has an explicit capability state and no false synchronised status.</w:t>
      </w:r>
    </w:p>
    <w:p>
      <w:pPr>
        <w:pStyle w:val="Heading3"/>
        <w:keepNext/>
      </w:pPr>
      <w:r>
        <w:rPr>
          <w:color w:val="000000"/>
        </w:rPr>
        <w:t>Evidence and rollout</w:t>
      </w:r>
    </w:p>
    <w:p>
      <w:r>
        <w:t>M06 and cross source acceptance suites field capability matrix bidirectional scenario recordings and outage recovery report. Enable writes per source scope after read reconciliation; quarantine unresolved conflicts and preserve evidence.</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R08 ATTACK controls team shifts and routing</w:t>
      </w:r>
    </w:p>
    <w:p>
      <w:r>
        <w:t>Stage: Incident context and workforce | Status: Planned</w:t>
      </w:r>
    </w:p>
    <w:p>
      <w:r>
        <w:t>Accountable owner: Detection engineering lead and SOC manager. Entry dependencies: R07; M07 available.</w:t>
      </w:r>
    </w:p>
    <w:p>
      <w:pPr>
        <w:pStyle w:val="Heading3"/>
        <w:keepNext/>
      </w:pPr>
      <w:r>
        <w:rPr>
          <w:color w:val="000000"/>
        </w:rPr>
        <w:t>Required delivery</w:t>
      </w:r>
    </w:p>
    <w:p>
      <w:pPr>
        <w:pStyle w:val="ListBullet"/>
      </w:pPr>
      <w:r>
        <w:t>Release M08 official MITRE ATTACK STIX JSON ingestion approved catalogue snapshots techniques subtechniques tactics mappings and control evidence. Preserve historical mappings across revoked and deprecated objects.</w:t>
      </w:r>
    </w:p>
    <w:p>
      <w:pPr>
        <w:pStyle w:val="ListBullet"/>
      </w:pPr>
      <w:r>
        <w:t>Release M09 WorkReference assignment with owner revision cursor and lease in its own transaction. The owner conditionally applies the assignment and acknowledges it; M09 never writes incident change or problem collections. Include shifts DST primary/backup skills leave handover and escalation.</w:t>
      </w:r>
    </w:p>
    <w:p>
      <w:pPr>
        <w:pStyle w:val="ListBullet"/>
      </w:pPr>
      <w:r>
        <w:t>Expand M15 incident attack metrics coverage response timing and team workload dashboards. Separate observed attacks mapped controls and demonstrated control effectiveness.</w:t>
      </w:r>
    </w:p>
    <w:p>
      <w:pPr>
        <w:pStyle w:val="Heading3"/>
        <w:keepNext/>
      </w:pPr>
      <w:r>
        <w:rPr>
          <w:color w:val="000000"/>
        </w:rPr>
        <w:t>Exit criteria</w:t>
      </w:r>
    </w:p>
    <w:p>
      <w:pPr>
        <w:pStyle w:val="ListBullet"/>
      </w:pPr>
      <w:r>
        <w:t>Catalogue signature or hash validation schema checks rollback and historical mapping tests pass. Technique identity and parent relationships are sourced from the official dataset.</w:t>
      </w:r>
    </w:p>
    <w:p>
      <w:pPr>
        <w:pStyle w:val="ListBullet"/>
      </w:pPr>
      <w:r>
        <w:t>Test concurrent routing owner revision conflicts non-incident work fairness backup absence lease expiry DST handover and forged acknowledgements. Only operator-held authenticated receipts influence lease escalation; no assignment grants data access.</w:t>
      </w:r>
    </w:p>
    <w:p>
      <w:pPr>
        <w:pStyle w:val="Heading3"/>
        <w:keepNext/>
      </w:pPr>
      <w:r>
        <w:rPr>
          <w:color w:val="000000"/>
        </w:rPr>
        <w:t>Evidence and rollout</w:t>
      </w:r>
    </w:p>
    <w:p>
      <w:r>
        <w:t>M08 M09 acceptance evidence ATTACK release manifest routing simulations metrics reconciliation and analyst walkthrough. Enable mapping and routing independently; retain previous approved catalogue and safe manual assignment during failure.</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R09 Change Request and Problem Management</w:t>
      </w:r>
    </w:p>
    <w:p>
      <w:r>
        <w:t>Stage: Governed service workflows | Status: Planned</w:t>
      </w:r>
    </w:p>
    <w:p>
      <w:r>
        <w:t>Accountable owner: Service management lead. Entry dependencies: R07 R08.</w:t>
      </w:r>
    </w:p>
    <w:p>
      <w:pPr>
        <w:pStyle w:val="Heading3"/>
        <w:keepNext/>
      </w:pPr>
      <w:r>
        <w:rPr>
          <w:color w:val="000000"/>
        </w:rPr>
        <w:t>Required delivery</w:t>
      </w:r>
    </w:p>
    <w:p>
      <w:pPr>
        <w:pStyle w:val="ListBullet"/>
      </w:pPr>
      <w:r>
        <w:t>Release M13 changes with risk impact dependency assessment approvals scheduling rollback execution evidence and post implementation review. Link optimisation licence and score findings to changes without an incident prerequisite.</w:t>
      </w:r>
    </w:p>
    <w:p>
      <w:pPr>
        <w:pStyle w:val="ListBullet"/>
      </w:pPr>
      <w:r>
        <w:t>Release M14 problem investigation recurring incident relationships root cause known errors workarounds permanent remediation and review. Keep problem and incident ownership and lifecycle distinct.</w:t>
      </w:r>
    </w:p>
    <w:p>
      <w:pPr>
        <w:pStyle w:val="ListBullet"/>
      </w:pPr>
      <w:r>
        <w:t>Connect files assets teams dashboards and approval references through versioned module contracts. Enforce requester approver separation and invalidate approvals after material plan edits.</w:t>
      </w:r>
    </w:p>
    <w:p>
      <w:pPr>
        <w:pStyle w:val="Heading3"/>
        <w:keepNext/>
      </w:pPr>
      <w:r>
        <w:rPr>
          <w:color w:val="000000"/>
        </w:rPr>
        <w:t>Exit criteria</w:t>
      </w:r>
    </w:p>
    <w:p>
      <w:pPr>
        <w:pStyle w:val="ListBullet"/>
      </w:pPr>
      <w:r>
        <w:t>Approval replay self approval stale version concurrent edits scheduling conflict rollback and post change verification tests pass. Missing policy mandated approval blocks execution.</w:t>
      </w:r>
    </w:p>
    <w:p>
      <w:pPr>
        <w:pStyle w:val="ListBullet"/>
      </w:pPr>
      <w:r>
        <w:t>Problems retain linked incidents and evidence across incident closure. A workaround does not imply permanent resolution; customer visibility follows the matrix.</w:t>
      </w:r>
    </w:p>
    <w:p>
      <w:pPr>
        <w:pStyle w:val="Heading3"/>
        <w:keepNext/>
      </w:pPr>
      <w:r>
        <w:rPr>
          <w:color w:val="000000"/>
        </w:rPr>
        <w:t>Evidence and rollout</w:t>
      </w:r>
    </w:p>
    <w:p>
      <w:r>
        <w:t>M13 M14 tests approval trace example change and problem records and service owner acceptance. Pilot workflow only; human managed changes remain possible with auditable external execution evidence.</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R10A Local AI budgets and library investigation</w:t>
      </w:r>
    </w:p>
    <w:p>
      <w:r>
        <w:t>Stage: Governed intelligence initial slice | Status: Planned</w:t>
      </w:r>
    </w:p>
    <w:p>
      <w:r>
        <w:t>Accountable owner: AI engineering lead with AI governance owner. Entry dependencies: R05 R07 R09; M11 must precede enabled M10 usage.</w:t>
      </w:r>
    </w:p>
    <w:p>
      <w:pPr>
        <w:pStyle w:val="Heading3"/>
        <w:keepNext/>
      </w:pPr>
      <w:r>
        <w:rPr>
          <w:color w:val="000000"/>
        </w:rPr>
        <w:t>Required delivery</w:t>
      </w:r>
    </w:p>
    <w:p>
      <w:pPr>
        <w:pStyle w:val="ListBullet"/>
      </w:pPr>
      <w:r>
        <w:t>Release M11 atomic token and optional monetary budgets for tenant group user and service allocations reservations hard limits usage receipts and settlement. Choose a deterministic charge group and prevent parallel overspend.</w:t>
      </w:r>
    </w:p>
    <w:p>
      <w:pPr>
        <w:pStyle w:val="ListBullet"/>
      </w:pPr>
      <w:r>
        <w:t>Release initial M10 LocalOnly library and incident chat with the per-tenant Document Processor container and Qdrant prefix. Prove two containers with identical bytes and two separate clusters for content versus jobs/operator records. Local generation embeddings and any AI extraction/reranking use authenticated private connectivity.</w:t>
      </w:r>
    </w:p>
    <w:p>
      <w:pPr>
        <w:pStyle w:val="ListBullet"/>
      </w:pPr>
      <w:r>
        <w:t>Deliver permitted citations confidence methodology abstention injection defence history ACLs kill switches and audit. Create the human-labelled evaluation set with independent ModelReviewer review. Gate all model paths including Radzen assisted components. Web research is off initially and remains required R10B scope.</w:t>
      </w:r>
    </w:p>
    <w:p>
      <w:pPr>
        <w:pStyle w:val="Heading3"/>
        <w:keepNext/>
      </w:pPr>
      <w:r>
        <w:rPr>
          <w:color w:val="000000"/>
        </w:rPr>
        <w:t>Exit criteria</w:t>
      </w:r>
    </w:p>
    <w:p>
      <w:pPr>
        <w:pStyle w:val="ListBullet"/>
      </w:pPr>
      <w:r>
        <w:t>With cloud AI egress denied prove library indexing chat incident assistance and token settlement. Test simultaneous caps null engine gate customer-side counter edits same-hash cross-container deletion/retrieval and private endpoint streaming failure. Missing local capabilities fail explicitly without cloud fallback.</w:t>
      </w:r>
    </w:p>
    <w:p>
      <w:pPr>
        <w:pStyle w:val="ListBullet"/>
      </w:pPr>
      <w:r>
        <w:t>Retrieved sources and citations obey ACLs at query and response time. Malicious uploaded and web instructions cannot authorise tool actions. Unsupported answers abstain; citation accuracy and evaluation quality meet R00 targets.</w:t>
      </w:r>
    </w:p>
    <w:p>
      <w:pPr>
        <w:pStyle w:val="Heading3"/>
        <w:keepNext/>
      </w:pPr>
      <w:r>
        <w:rPr>
          <w:color w:val="000000"/>
        </w:rPr>
        <w:t>Evidence and rollout</w:t>
      </w:r>
    </w:p>
    <w:p>
      <w:r>
        <w:t>M10 M11 tests red team and grounding evaluation budget ledger reconciliation local and cloud demonstrations and AI governance acceptance. Enable bounded pilot cohorts; kill switches stop new model use and retain usage settlement.</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R10B Web research cloud AI and advanced views</w:t>
      </w:r>
    </w:p>
    <w:p>
      <w:r>
        <w:t>Stage: Required intelligence expansion | Status: Planned</w:t>
      </w:r>
    </w:p>
    <w:p>
      <w:r>
        <w:t>Owner: AI engineering lead and AI governance owner. Entry: R10A; approved web provider data policy network and evaluation thresholds. This slice is required before R12, but does not block deterministic R11 response work.</w:t>
      </w:r>
    </w:p>
    <w:p>
      <w:pPr>
        <w:pStyle w:val="Heading3"/>
        <w:keepNext/>
      </w:pPr>
      <w:r>
        <w:rPr>
          <w:color w:val="000000"/>
        </w:rPr>
        <w:t>Required delivery</w:t>
      </w:r>
    </w:p>
    <w:p>
      <w:pPr>
        <w:pStyle w:val="ListBullet"/>
      </w:pPr>
      <w:r>
        <w:t>Deliver the M10 internet research broker WebOnly and Combined source modes with SSRF DNS redirect privacy size and timeout controls and factual source annotations. Preserve the LibraryOnly mode and respect revoked document ACLs in history.</w:t>
      </w:r>
    </w:p>
    <w:p>
      <w:pPr>
        <w:pStyle w:val="ListBullet"/>
      </w:pPr>
      <w:r>
        <w:t>Validate the Azure OpenAI provider route and cloud tenant policy while retaining a completely local pipeline. Cross-customer approvals and executive aggregation ship only with explicit permissions versioned facts suppression and partial-result labels.</w:t>
      </w:r>
    </w:p>
    <w:p>
      <w:pPr>
        <w:pStyle w:val="ListBullet"/>
      </w:pPr>
      <w:r>
        <w:t>Verify actual model capabilities usage receipts confidence evaluations source freshness cancellation and provider-specific errors. The initial no-web decision is a rollout boundary, not scope removal.</w:t>
      </w:r>
    </w:p>
    <w:p>
      <w:pPr>
        <w:pStyle w:val="Heading3"/>
        <w:keepNext/>
      </w:pPr>
      <w:r>
        <w:rPr>
          <w:color w:val="000000"/>
        </w:rPr>
        <w:t>Exit criteria</w:t>
      </w:r>
    </w:p>
    <w:p>
      <w:pPr>
        <w:pStyle w:val="ListBullet"/>
      </w:pPr>
      <w:r>
        <w:t>V5-T13 to V5-T16 pass for local cloud and combined modes. No cross-tenant disclosure unauthorised tool execution invented citation or hidden cloud fallback is accepted.</w:t>
      </w:r>
    </w:p>
    <w:p>
      <w:pPr>
        <w:pStyle w:val="ListBullet"/>
      </w:pPr>
      <w:r>
        <w:t>Owner signs the held-out evaluation report and provider query privacy terms. Internet access never bypasses local AI policy or consumes hidden unreserved tokens. A failed mode can be disabled independently with an explicit unavailable state.</w:t>
      </w:r>
    </w:p>
    <w:p>
      <w:pPr>
        <w:pStyle w:val="Heading3"/>
        <w:keepNext/>
      </w:pPr>
      <w:r>
        <w:rPr>
          <w:color w:val="000000"/>
        </w:rPr>
        <w:t>Evidence and rollout</w:t>
      </w:r>
    </w:p>
    <w:p>
      <w:r>
        <w:t>Model and source capability manifests evaluation dataset and results SSRF and ACL tests cloud/local usage reconciliation and authorised dashboard review. Canary approved cohorts; stop new inference on a kill switch while settling usage and preserving manual workflows.</w:t>
      </w:r>
    </w:p>
    <w:p>
      <w:pPr>
        <w:pStyle w:val="Heading2"/>
        <w:keepNext/>
        <w:pageBreakBefore/>
      </w:pPr>
      <w:r>
        <w:rPr>
          <w:color w:val="000000"/>
        </w:rPr>
        <w:t>R11 Automated response and remaining adapters</w:t>
      </w:r>
    </w:p>
    <w:p>
      <w:r>
        <w:t>Stage: Controlled execution | Status: Planned</w:t>
      </w:r>
    </w:p>
    <w:p>
      <w:r>
        <w:t>Accountable owner: Response engineering lead and integration lead. Entry dependencies: R07 R08 R09; R10 for AI assisted proposals only.</w:t>
      </w:r>
    </w:p>
    <w:p>
      <w:pPr>
        <w:pStyle w:val="Heading3"/>
        <w:keepNext/>
      </w:pPr>
      <w:r>
        <w:rPr>
          <w:color w:val="000000"/>
        </w:rPr>
        <w:t>Required delivery</w:t>
      </w:r>
    </w:p>
    <w:p>
      <w:pPr>
        <w:pStyle w:val="ListBullet"/>
      </w:pPr>
      <w:r>
        <w:t>Release M12 policy constrained response approvals immutable action parameters risk tiers dry run target validation kill switches provider execution and post action verification. Start with approved low impact actions and expand by demonstrated provider capability.</w:t>
      </w:r>
    </w:p>
    <w:p>
      <w:pPr>
        <w:pStyle w:val="ListBullet"/>
      </w:pPr>
      <w:r>
        <w:t>Complete M16 specialist source adapters after demonstrating a measured Sentinel or common Graph gap. Reconcile all product scenarios and keep Teams delivery from R04 compatible. Separate Purview investigative audit queries from continuous feeds; source consent and licensed capability remain required.</w:t>
      </w:r>
    </w:p>
    <w:p>
      <w:pPr>
        <w:pStyle w:val="ListBullet"/>
      </w:pPr>
      <w:r>
        <w:t>Connect approved optimisation and licence changes only through validated execution adapters and policy. Purchasing reservations removing users deleting resources and modifying licences require explicit authority; a recommendation is never an execution instruction.</w:t>
      </w:r>
    </w:p>
    <w:p>
      <w:pPr>
        <w:pStyle w:val="Heading3"/>
        <w:keepNext/>
      </w:pPr>
      <w:r>
        <w:rPr>
          <w:color w:val="000000"/>
        </w:rPr>
        <w:t>Exit criteria</w:t>
      </w:r>
    </w:p>
    <w:p>
      <w:pPr>
        <w:pStyle w:val="ListBullet"/>
      </w:pPr>
      <w:r>
        <w:t>Approval mutation replay privilege loss source timeout unknown outcome duplicate command stale restored command kill switch and rollback tests pass. Unknown provider outcomes reconcile before a retry can repeat an effect.</w:t>
      </w:r>
    </w:p>
    <w:p>
      <w:pPr>
        <w:pStyle w:val="ListBullet"/>
      </w:pPr>
      <w:r>
        <w:t>No unvalidated adapter is exposed as supported; every required scenario is implemented or has an explicitly accepted exclusion. Notifications and automated actions respect tenant content permissions.</w:t>
      </w:r>
    </w:p>
    <w:p>
      <w:pPr>
        <w:pStyle w:val="Heading3"/>
        <w:keepNext/>
      </w:pPr>
      <w:r>
        <w:rPr>
          <w:color w:val="000000"/>
        </w:rPr>
        <w:t>Evidence and rollout</w:t>
      </w:r>
    </w:p>
    <w:p>
      <w:r>
        <w:t>M12 M16 acceptance tests action catalogue permission scopes dry run records chaos and kill switch evidence. Canary one action type and tenant at a time; halt dispatch while preserving safe in flight reconciliation.</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R12 Full programme production acceptance</w:t>
      </w:r>
    </w:p>
    <w:p>
      <w:r>
        <w:t>Stage: End to end completion | Status: Planned</w:t>
      </w:r>
    </w:p>
    <w:p>
      <w:r>
        <w:t>Accountable owner: Product owner with security and operations approvers. Entry dependencies: R01 to R11 accepted; all module criteria complete.</w:t>
      </w:r>
    </w:p>
    <w:p>
      <w:pPr>
        <w:pStyle w:val="Heading3"/>
        <w:keepNext/>
      </w:pPr>
      <w:r>
        <w:rPr>
          <w:color w:val="000000"/>
        </w:rPr>
        <w:t>Required delivery</w:t>
      </w:r>
    </w:p>
    <w:p>
      <w:pPr>
        <w:pStyle w:val="ListBullet"/>
      </w:pPr>
      <w:r>
        <w:t>Exercise the complete journey across the 23 original engines plus Phase 1 M25 and Phase 1 M24: onboard and authenticate correct operator/member or guest, review costs licences scores, create incident attach safe evidence route shifts classify ATTACK investigate with budgeted AI open change/problem approve response verify results and report scoped facts. Include R10B web/cloud paths and authorised cross-customer views.</w:t>
      </w:r>
    </w:p>
    <w:p>
      <w:pPr>
        <w:pStyle w:val="ListBullet"/>
      </w:pPr>
      <w:r>
        <w:t>Complete final security performance accessibility recovery tenant offboarding data export retention observability support documentation training and module upgrade compatibility verification.</w:t>
      </w:r>
    </w:p>
    <w:p>
      <w:pPr>
        <w:pStyle w:val="ListBullet"/>
      </w:pPr>
      <w:r>
        <w:t>Reconcile M01 to M20 requirements against production capabilities tests and release notes. Remove unaccepted scope gaps; document formally accepted exclusions without claiming the excluded capability is complete.</w:t>
      </w:r>
    </w:p>
    <w:p>
      <w:pPr>
        <w:pStyle w:val="Heading3"/>
        <w:keepNext/>
      </w:pPr>
      <w:r>
        <w:rPr>
          <w:color w:val="000000"/>
        </w:rPr>
        <w:t>Exit criteria</w:t>
      </w:r>
    </w:p>
    <w:p>
      <w:pPr>
        <w:pStyle w:val="ListBullet"/>
      </w:pPr>
      <w:r>
        <w:t>Every module outcome and all v5 finding tests pass or have a formally approved scope change. R10B source modes and cloud-provider option remain mandatory; no deferred initial feature is silently omitted. Pending structural decisions are resolved for the production implementation, with no claim that this documentation approved them.</w:t>
      </w:r>
    </w:p>
    <w:p>
      <w:pPr>
        <w:pStyle w:val="ListBullet"/>
      </w:pPr>
      <w:r>
        <w:t>Recovery including tenant data file ACL vector indexes and budget ledgers meets agreed targets; restored queues cannot execute stale commands. Operational ownership and stakeholder acceptance are recorded.</w:t>
      </w:r>
    </w:p>
    <w:p>
      <w:pPr>
        <w:pStyle w:val="Heading3"/>
        <w:keepNext/>
      </w:pPr>
      <w:r>
        <w:rPr>
          <w:color w:val="000000"/>
        </w:rPr>
        <w:t>Evidence and rollout</w:t>
      </w:r>
    </w:p>
    <w:p>
      <w:r>
        <w:t>End to end UAT security assessment restore and load reports complete traceability operational handover and signed release decision. Progressively enable tenants with observation windows from R00 and tested rollback or forward recovery per module.</w:t>
      </w:r>
    </w:p>
    <w:p>
      <w:r>
        <w:t>Handover: attach implementation decisions changed API capabilities regression results data migrations support instructions and the list of remaining requirements to the release record. The accountable owner proposes readiness; designated business security and operations approvers record the decision.</w:t>
      </w:r>
    </w:p>
    <w:p>
      <w:pPr>
        <w:pStyle w:val="Heading2"/>
        <w:keepNext/>
        <w:pageBreakBefore/>
      </w:pPr>
      <w:r>
        <w:rPr>
          <w:color w:val="000000"/>
        </w:rPr>
        <w:t>Module coverage and completion gates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3600"/>
        <w:gridCol w:w="1872"/>
        <w:gridCol w:w="3960"/>
      </w:tblGrid>
      <w:tr>
        <w:trPr>
          <w:cantSplit/>
          <w:tblHeader/>
          <w:tblHeader/>
          <w:cantSplit/>
        </w:trPr>
        <w:tc>
          <w:tcPr>
            <w:tcW w:type="dxa" w:w="792"/>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Module</w:t>
            </w:r>
          </w:p>
        </w:tc>
        <w:tc>
          <w:tcPr>
            <w:tcW w:type="dxa" w:w="3600"/>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Engine</w:t>
            </w:r>
          </w:p>
        </w:tc>
        <w:tc>
          <w:tcPr>
            <w:tcW w:type="dxa" w:w="1872"/>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First release</w:t>
            </w:r>
          </w:p>
        </w:tc>
        <w:tc>
          <w:tcPr>
            <w:tcW w:type="dxa" w:w="3960"/>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Integration gates</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M01</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Platform and tenant</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R01</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M02</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UAM permission matrix</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R01</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M03</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File Store</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R05</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R06 R10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M04</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Unified incidents</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R06</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R07 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M05</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Sentinel</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R06</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R07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M06</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Defender</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R07</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M07</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Agentless assets</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R05</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R08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M08</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ATTACK and controls</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R08</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M09</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Shifts teams and routing</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R08</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M10</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AI chat and investigation</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R10A</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R10B 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M11</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AI budgets</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R10A before M10</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R10B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M12</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Response orchestration</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R11</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M13</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Change Request</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R09</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R11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M14</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Problem Management</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R09</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M15</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Reporting and dashboards</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R02</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R03 R04 R07 R08 R10A R10B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M16</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Extensions and notifications</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R04 Teams</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R11 adapters 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M17</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Azure optimisation</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R02</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R04 R09 R11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M18</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Entra and M365 licensing</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R03</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R04 R09 R11 R12</w:t>
            </w:r>
          </w:p>
        </w:tc>
      </w:tr>
      <w:tr>
        <w:trPr>
          <w:cantSplit/>
          <w:cantSplit/>
        </w:trPr>
        <w:tc>
          <w:tcPr>
            <w:tcW w:type="dxa" w:w="79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M19</w:t>
            </w:r>
          </w:p>
        </w:tc>
        <w:tc>
          <w:tcPr>
            <w:tcW w:type="dxa" w:w="360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DevOps governance</w:t>
            </w:r>
          </w:p>
        </w:tc>
        <w:tc>
          <w:tcPr>
            <w:tcW w:type="dxa" w:w="187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R03</w:t>
            </w:r>
          </w:p>
        </w:tc>
        <w:tc>
          <w:tcPr>
            <w:tcW w:type="dxa" w:w="3960"/>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R04 R09 R12</w:t>
            </w:r>
          </w:p>
        </w:tc>
      </w:tr>
      <w:tr>
        <w:trPr>
          <w:cantSplit/>
          <w:cantSplit/>
        </w:trPr>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M20</w:t>
            </w:r>
          </w:p>
        </w:tc>
        <w:tc>
          <w:tcPr>
            <w:tcW w:type="dxa" w:w="360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Microsoft scores</w:t>
            </w:r>
          </w:p>
        </w:tc>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R02</w:t>
            </w:r>
          </w:p>
        </w:tc>
        <w:tc>
          <w:tcPr>
            <w:tcW w:type="dxa" w:w="39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R04 R09 R12</w:t>
            </w:r>
          </w:p>
        </w:tc>
      </w:tr>
      <w:tr>
        <w:trPr>
          <w:cantSplit/>
        </w:trPr>
        <w:tc>
          <w:tcPr>
            <w:tcW w:type="dxa" w:w="7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w:t>
            </w:r>
          </w:p>
        </w:tc>
        <w:tc>
          <w:tcPr>
            <w:tcW w:type="dxa" w:w="36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ITSM incident and requests</w:t>
            </w:r>
          </w:p>
        </w:tc>
        <w:tc>
          <w:tcPr>
            <w:tcW w:type="dxa" w:w="18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R06T</w:t>
            </w:r>
          </w:p>
        </w:tc>
        <w:tc>
          <w:tcPr>
            <w:tcW w:type="dxa" w:w="39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R09T advanced operations; R12 full path</w:t>
            </w:r>
          </w:p>
        </w:tc>
      </w:tr>
      <w:tr>
        <w:trPr>
          <w:cantSplit/>
        </w:trPr>
        <w:tc>
          <w:tcPr>
            <w:tcW w:type="dxa" w:w="79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M22</w:t>
            </w:r>
          </w:p>
        </w:tc>
        <w:tc>
          <w:tcPr>
            <w:tcW w:type="dxa" w:w="360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Mailbox connector</w:t>
            </w:r>
          </w:p>
        </w:tc>
        <w:tc>
          <w:tcPr>
            <w:tcW w:type="dxa" w:w="187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R06M</w:t>
            </w:r>
          </w:p>
        </w:tc>
        <w:tc>
          <w:tcPr>
            <w:tcW w:type="dxa" w:w="396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r>
              <w:t>Delta replay, mailbox scope and safe threading; R12 integrated acceptance</w:t>
            </w:r>
          </w:p>
        </w:tc>
      </w:tr>
      <w:tr>
        <w:trPr>
          <w:cantSplit/>
        </w:trPr>
        <w:tc>
          <w:tcPr>
            <w:tcW w:type="dxa" w:w="79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M23</w:t>
            </w:r>
          </w:p>
        </w:tc>
        <w:tc>
          <w:tcPr>
            <w:tcW w:type="dxa" w:w="360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Requester portal</w:t>
            </w:r>
          </w:p>
        </w:tc>
        <w:tc>
          <w:tcPr>
            <w:tcW w:type="dxa" w:w="187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R06T</w:t>
            </w:r>
          </w:p>
        </w:tc>
        <w:tc>
          <w:tcPr>
            <w:tcW w:type="dxa" w:w="396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Own/public visibility; request approvals; R12</w:t>
            </w:r>
          </w:p>
        </w:tc>
      </w:tr>
    </w:tbl>
    <w:p>
      <w:pPr>
        <w:spacing w:before="100"/>
      </w:pPr>
      <w:r>
        <w:t>First release means the required initial boundary is accepted. Later gates add cross module behaviours or programme verification; they are not evidence that the first release delivered all future integrations. The integrated engine acceptance criteria and work packages in this master remain authoritative.</w:t>
      </w:r>
    </w:p>
    <w:p>
      <w:pPr>
        <w:pStyle w:val="Heading2"/>
        <w:keepNext/>
        <w:pageBreakBefore/>
      </w:pPr>
      <w:r>
        <w:rPr>
          <w:color w:val="000000"/>
        </w:rPr>
        <w:t>Common release gates and evidence</w:t>
      </w:r>
    </w:p>
    <w:p>
      <w:pPr>
        <w:pStyle w:val="Heading3"/>
        <w:keepNext/>
      </w:pPr>
      <w:r>
        <w:rPr>
          <w:color w:val="000000"/>
        </w:rPr>
        <w:t>Requirements and design</w:t>
      </w:r>
    </w:p>
    <w:p>
      <w:r>
        <w:t>Every required outcome maps to a module task acceptance test release and evidence record. Record suggested implementation choices as architecture decisions. Confirm exact source API and package versions at implementation. Permission tenant isolation and approval requirements cannot be downgraded as research suggestions.</w:t>
      </w:r>
    </w:p>
    <w:p>
      <w:pPr>
        <w:pStyle w:val="Heading3"/>
        <w:keepNext/>
      </w:pPr>
      <w:r>
        <w:rPr>
          <w:color w:val="000000"/>
        </w:rPr>
        <w:t>Security and data integrity</w:t>
      </w:r>
    </w:p>
    <w:p>
      <w:r>
        <w:t>Pass the applicable tenant isolation permissions denial audit secrets upload safety privacy prompt injection and approval tests. No unresolved critical security defect may ship. Keep supported and unsupported capabilities explicit; changes to privileges require a new permission review.</w:t>
      </w:r>
    </w:p>
    <w:p>
      <w:pPr>
        <w:pStyle w:val="Heading3"/>
        <w:keepNext/>
      </w:pPr>
      <w:r>
        <w:rPr>
          <w:color w:val="000000"/>
        </w:rPr>
        <w:t>Operational readiness</w:t>
      </w:r>
    </w:p>
    <w:p>
      <w:r>
        <w:t>Meet approved measured service targets including operator-held recovery separately from customer backup. Demonstrate retry throttling outbox read back stale-source labels two-store recovery cloud AI denial and module disablement. Provide capacity cost and engine-container measurements, not unverified generic estimates.</w:t>
      </w:r>
    </w:p>
    <w:p>
      <w:pPr>
        <w:pStyle w:val="Heading3"/>
        <w:keepNext/>
      </w:pPr>
      <w:r>
        <w:rPr>
          <w:color w:val="000000"/>
        </w:rPr>
        <w:t>Business and data acceptance</w:t>
      </w:r>
    </w:p>
    <w:p>
      <w:r>
        <w:t>Reconcile source facts with matching scope and observation dates. Pilot users validate executive and technical views and the relevant end to end workflow. Savings uncertainty score models activity evidence confidence and missing data retain their required meaning.</w:t>
      </w:r>
    </w:p>
    <w:p>
      <w:pPr>
        <w:pStyle w:val="Heading3"/>
        <w:keepNext/>
      </w:pPr>
      <w:r>
        <w:rPr>
          <w:color w:val="000000"/>
        </w:rPr>
        <w:t>Rollout and recovery</w:t>
      </w:r>
    </w:p>
    <w:p>
      <w:r>
        <w:t>Use internal validation then approved pilot tenants then progressive production enablement. Record rollback triggers and data recovery strategy before deployment. Disable new jobs or writes when needed; retain safe reconciliation of in flight effects. Data schema rollback is not assumed reversible.</w:t>
      </w:r>
    </w:p>
    <w:p>
      <w:pPr>
        <w:pStyle w:val="Heading3"/>
        <w:keepNext/>
      </w:pPr>
      <w:r>
        <w:rPr>
          <w:color w:val="000000"/>
        </w:rPr>
        <w:t>Completion record</w:t>
      </w:r>
    </w:p>
    <w:p>
      <w:r>
        <w:t>Store release ID module versions requirement IDs test results evidence links source coverage decision log migration reference rollout cohort known limitations support owner approvers and timestamps. Status progresses Planned In development Verification Pilot Accepted Production or Blocked. A release is not accepted because code has merged.</w:t>
      </w:r>
    </w:p>
    <w:p>
      <w:pPr>
        <w:pStyle w:val="Heading2"/>
        <w:keepNext/>
        <w:pageBreakBefore/>
      </w:pPr>
      <w:r>
        <w:rPr>
          <w:color w:val="000000"/>
        </w:rPr>
        <w:t>Decisions ownership and programme closure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3096"/>
        <w:gridCol w:w="2016"/>
      </w:tblGrid>
      <w:tr>
        <w:trPr>
          <w:cantSplit/>
          <w:tblHeader/>
          <w:tblHeader/>
          <w:cantSplit/>
        </w:trPr>
        <w:tc>
          <w:tcPr>
            <w:tcW w:type="dxa" w:w="5112"/>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Decision</w:t>
            </w:r>
          </w:p>
        </w:tc>
        <w:tc>
          <w:tcPr>
            <w:tcW w:type="dxa" w:w="3096"/>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Owner role</w:t>
            </w:r>
          </w:p>
        </w:tc>
        <w:tc>
          <w:tcPr>
            <w:tcW w:type="dxa" w:w="2016"/>
            <w:vAlign w:val="center"/>
            <w:shd w:fill="203A52"/>
            <w:tcMar>
              <w:top w:w="75" w:type="dxa"/>
              <w:left w:w="75" w:type="dxa"/>
              <w:bottom w:w="75" w:type="dxa"/>
              <w:right w:w="75"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Due gate</w:t>
            </w:r>
          </w:p>
        </w:tc>
      </w:tr>
      <w:tr>
        <w:trPr>
          <w:cantSplit/>
          <w:cantSplit/>
        </w:trPr>
        <w:tc>
          <w:tcPr>
            <w:tcW w:type="dxa" w:w="511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MIT UI code bundled asset exceptions and allowed application dependencies</w:t>
            </w:r>
          </w:p>
        </w:tc>
        <w:tc>
          <w:tcPr>
            <w:tcW w:type="dxa" w:w="309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Product owner and architect</w:t>
            </w:r>
          </w:p>
        </w:tc>
        <w:tc>
          <w:tcPr>
            <w:tcW w:type="dxa" w:w="20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Confirmed SOC-D018 D044; exact versions verified at intake</w:t>
            </w:r>
          </w:p>
        </w:tc>
      </w:tr>
      <w:tr>
        <w:trPr>
          <w:cantSplit/>
          <w:cantSplit/>
        </w:trPr>
        <w:tc>
          <w:tcPr>
            <w:tcW w:type="dxa" w:w="51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Hosting regions scale retention RPO RTO and targets</w:t>
            </w:r>
          </w:p>
        </w:tc>
        <w:tc>
          <w:tcPr>
            <w:tcW w:type="dxa" w:w="30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Platform lead and security owner</w:t>
            </w:r>
          </w:p>
        </w:tc>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R00 before R01 acceptance</w:t>
            </w:r>
          </w:p>
        </w:tc>
      </w:tr>
      <w:tr>
        <w:trPr>
          <w:cantSplit/>
          <w:cantSplit/>
        </w:trPr>
        <w:tc>
          <w:tcPr>
            <w:tcW w:type="dxa" w:w="511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Billing agreement rates renewals and scopes</w:t>
            </w:r>
          </w:p>
        </w:tc>
        <w:tc>
          <w:tcPr>
            <w:tcW w:type="dxa" w:w="309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FinOps owner and tenant sponsor</w:t>
            </w:r>
          </w:p>
        </w:tc>
        <w:tc>
          <w:tcPr>
            <w:tcW w:type="dxa" w:w="20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Before R02 pilot</w:t>
            </w:r>
          </w:p>
        </w:tc>
      </w:tr>
      <w:tr>
        <w:trPr>
          <w:cantSplit/>
          <w:cantSplit/>
        </w:trPr>
        <w:tc>
          <w:tcPr>
            <w:tcW w:type="dxa" w:w="51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M365 privacy consent inactivity exceptions</w:t>
            </w:r>
          </w:p>
        </w:tc>
        <w:tc>
          <w:tcPr>
            <w:tcW w:type="dxa" w:w="30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Identity owner and tenant sponsor</w:t>
            </w:r>
          </w:p>
        </w:tc>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Before R03 pilot</w:t>
            </w:r>
          </w:p>
        </w:tc>
      </w:tr>
      <w:tr>
        <w:trPr>
          <w:cantSplit/>
          <w:cantSplit/>
        </w:trPr>
        <w:tc>
          <w:tcPr>
            <w:tcW w:type="dxa" w:w="511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Score models portal parity supported Microsoft fields</w:t>
            </w:r>
          </w:p>
        </w:tc>
        <w:tc>
          <w:tcPr>
            <w:tcW w:type="dxa" w:w="309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Posture lead and connector leads</w:t>
            </w:r>
          </w:p>
        </w:tc>
        <w:tc>
          <w:tcPr>
            <w:tcW w:type="dxa" w:w="20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Before each source release</w:t>
            </w:r>
          </w:p>
        </w:tc>
      </w:tr>
      <w:tr>
        <w:trPr>
          <w:cantSplit/>
          <w:cantSplit/>
        </w:trPr>
        <w:tc>
          <w:tcPr>
            <w:tcW w:type="dxa" w:w="51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Pilot tenants staffing dates and observation windows</w:t>
            </w:r>
          </w:p>
        </w:tc>
        <w:tc>
          <w:tcPr>
            <w:tcW w:type="dxa" w:w="30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Product owner and delivery lead</w:t>
            </w:r>
          </w:p>
        </w:tc>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R00; refresh each milestone</w:t>
            </w:r>
          </w:p>
        </w:tc>
      </w:tr>
      <w:tr>
        <w:trPr>
          <w:cantSplit/>
          <w:cantSplit/>
        </w:trPr>
        <w:tc>
          <w:tcPr>
            <w:tcW w:type="dxa" w:w="5112"/>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Response catalogue risk levels and approvers</w:t>
            </w:r>
          </w:p>
        </w:tc>
        <w:tc>
          <w:tcPr>
            <w:tcW w:type="dxa" w:w="309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SOC lead and change authority</w:t>
            </w:r>
          </w:p>
        </w:tc>
        <w:tc>
          <w:tcPr>
            <w:tcW w:type="dxa" w:w="2016"/>
            <w:vAlign w:val="center"/>
            <w:shd w:fill="EFF3F6"/>
            <w:tcMar>
              <w:top w:w="75" w:type="dxa"/>
              <w:left w:w="75" w:type="dxa"/>
              <w:bottom w:w="75" w:type="dxa"/>
              <w:right w:w="75"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Before R11 action enablement</w:t>
            </w:r>
          </w:p>
        </w:tc>
      </w:tr>
      <w:tr>
        <w:trPr>
          <w:cantSplit/>
          <w:cantSplit/>
        </w:trPr>
        <w:tc>
          <w:tcPr>
            <w:tcW w:type="dxa" w:w="51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AI provider policies evaluation and charge groups</w:t>
            </w:r>
          </w:p>
        </w:tc>
        <w:tc>
          <w:tcPr>
            <w:tcW w:type="dxa" w:w="30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AI governance and FinOps owners</w:t>
            </w:r>
          </w:p>
        </w:tc>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Before R10 usage</w:t>
            </w:r>
          </w:p>
        </w:tc>
      </w:tr>
    </w:tbl>
    <w:p>
      <w:pPr>
        <w:pStyle w:val="Heading3"/>
        <w:keepNext/>
      </w:pPr>
      <w:r>
        <w:rPr>
          <w:color w:val="000000"/>
        </w:rPr>
        <w:t>Backlog handover</w:t>
      </w:r>
    </w:p>
    <w:p>
      <w:r>
        <w:t>For each story record release module task requirement dependency required outcome suggested design research question permissions source scopes data model migration tests evidence estimate owner and status. Break large tasks into independently testable slices. Reprioritisation keeps traceability and updates this milestone plan and both baseline documents together.</w:t>
      </w:r>
    </w:p>
    <w:p>
      <w:pPr>
        <w:pStyle w:val="Heading3"/>
        <w:keepNext/>
      </w:pPr>
      <w:r>
        <w:rPr>
          <w:color w:val="000000"/>
        </w:rPr>
        <w:t>End to end acceptance</w:t>
      </w:r>
    </w:p>
    <w:p>
      <w:r>
        <w:t>R12 closes the programme only after every module criterion and required integration scenario is verified, operational ownership is transferred and the required business security and operations decisions are recorded. A signed scope change may exclude a capability; the release notes must state that exclusion and cannot claim it as implemented. Future enhancements remain a separate backlog after baseline closure.</w:t>
      </w:r>
    </w:p>
    <w:p>
      <w:pPr>
        <w:pStyle w:val="Heading3"/>
        <w:keepNext/>
      </w:pPr>
      <w:r>
        <w:rPr>
          <w:color w:val="000000"/>
        </w:rPr>
        <w:t>Research baseline</w:t>
      </w:r>
    </w:p>
    <w:p>
      <w:r>
        <w:t>The specification records dated public Microsoft NIST MongoDB Qdrant and MITRE research. Native hunting cutoff is 1 February 2027 and Sentinel Azure portal support ends after 31 March 2027. Source APIs and exact package capabilities must still be proved in the delivery tenant. Reported code reviews and test counts are not re-certified here.</w:t>
      </w:r>
    </w:p>
    <w:p>
      <w:r>
        <w:rPr>
          <w:sz w:val="16"/>
        </w:rPr>
        <w:t>Project review gate: SOC-D002 requires an independent named-model review in the engineering workflow. That review and the referenced source repository were not available in this task. Record the review and apply findings before the affected implementation baseline is signed off; this v5 document does not claim the gate passed.</w:t>
      </w:r>
    </w:p>
    <w:p>
      <w:pPr>
        <w:pStyle w:val="Heading2"/>
        <w:keepNext/>
      </w:pPr>
      <w:r>
        <w:rPr>
          <w:color w:val="000000"/>
        </w:rPr>
        <w:t>New ITSM release gates</w:t>
      </w:r>
    </w:p>
    <w:tbl>
      <w:tblPr>
        <w:tblW w:type="auto" w:w="0"/>
        <w:tblLayout w:type="fixed"/>
        <w:tblLook w:firstColumn="1" w:firstRow="1" w:lastColumn="0" w:lastRow="0" w:noHBand="0" w:noVBand="1" w:val="04A0"/>
      </w:tblPr>
      <w:tblGrid>
        <w:gridCol w:w="1728"/>
        <w:gridCol w:w="4320"/>
        <w:gridCol w:w="4032"/>
      </w:tblGrid>
      <w:tr>
        <w:trPr>
          <w:tblHeader/>
          <w:cantSplit/>
        </w:trPr>
        <w:tc>
          <w:tcPr>
            <w:tcW w:type="dxa" w:w="288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Release</w:t>
            </w:r>
          </w:p>
        </w:tc>
        <w:tc>
          <w:tcPr>
            <w:tcW w:type="dxa" w:w="288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Scope</w:t>
            </w:r>
          </w:p>
        </w:tc>
        <w:tc>
          <w:tcPr>
            <w:tcW w:type="dxa" w:w="2880"/>
            <w:vAlign w:val="cente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line="245" w:lineRule="auto"/>
            </w:pPr>
            <w:r>
              <w:rPr>
                <w:b/>
                <w:color w:val="FFFFFF"/>
                <w:sz w:val="18"/>
              </w:rPr>
              <w:t>Acceptance dependency</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R06T</w:t>
            </w:r>
          </w:p>
        </w:tc>
        <w:tc>
          <w:tcPr>
            <w:tcW w:type="dxa" w:w="432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 core incident board and M23 requester portal</w:t>
            </w:r>
          </w:p>
        </w:tc>
        <w:tc>
          <w:tcPr>
            <w:tcW w:type="dxa" w:w="403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R01 and M03 attachment boundary where used; requester isolation, assignment and lifecycle tests.</w:t>
            </w:r>
          </w:p>
        </w:tc>
      </w:tr>
      <w:tr>
        <w:trPr>
          <w:cantSplit/>
        </w:trPr>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R06M</w:t>
            </w:r>
          </w:p>
        </w:tc>
        <w:tc>
          <w:tcPr>
            <w:tcW w:type="dxa" w:w="432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M22 mailbox intake and safe threading</w:t>
            </w:r>
          </w:p>
        </w:tc>
        <w:tc>
          <w:tcPr>
            <w:tcW w:type="dxa" w:w="403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R06T or accepted M21 command contract; scoped mailbox denial, delta recovery, duplicate/crash tests.</w:t>
            </w:r>
          </w:p>
        </w:tc>
      </w:tr>
      <w:tr>
        <w:trPr>
          <w:cantSplit/>
        </w:trPr>
        <w:tc>
          <w:tcPr>
            <w:tcW w:type="dxa" w:w="1728"/>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R09T</w:t>
            </w:r>
          </w:p>
        </w:tc>
        <w:tc>
          <w:tcPr>
            <w:tcW w:type="dxa" w:w="4320"/>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 advanced service operations and linked workflows</w:t>
            </w:r>
          </w:p>
        </w:tc>
        <w:tc>
          <w:tcPr>
            <w:tcW w:type="dxa" w:w="4032"/>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Core ITSM; SLA, catalogue, approvals/tasks, major incidents, knowledge and available M13/M14 integrations.</w:t>
            </w:r>
          </w:p>
        </w:tc>
      </w:tr>
      <w:tr>
        <w:trPr>
          <w:cantSplit/>
        </w:trPr>
        <w:tc>
          <w:tcPr>
            <w:tcW w:type="dxa" w:w="1728"/>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R12 completion</w:t>
            </w:r>
          </w:p>
        </w:tc>
        <w:tc>
          <w:tcPr>
            <w:tcW w:type="dxa" w:w="4320"/>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All 23 engines and optional required end-state paths</w:t>
            </w:r>
          </w:p>
        </w:tc>
        <w:tc>
          <w:tcPr>
            <w:tcW w:type="dxa" w:w="4032"/>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Every original gate plus M21–M23 end-to-end, no-Syncfusion manifest and file-read/download acceptance.</w:t>
            </w:r>
          </w:p>
        </w:tc>
      </w:tr>
    </w:tbl>
    <w:p>
      <w:bookmarkStart w:id="71" w:name="orca_ch_071"/>
      <w:pPr>
        <w:pStyle w:val="Heading1"/>
        <w:keepNext/>
        <w:pageBreakBefore w:val="0"/>
      </w:pPr>
      <w:r>
        <w:rPr>
          <w:color w:val="000000"/>
        </w:rPr>
        <w:t>Release planning and final baseline controls</w:t>
      </w:r>
      <w:bookmarkEnd w:id="71"/>
    </w:p>
    <w:p>
      <w:r>
        <w:t>This complete baseline retains the 23 original engines plus Phase 1 M25 and Phase 1 M24 and the confirmed hybrid Azure architecture. The integrated work-package and release chapters supply development scope, dependencies, evidence and completion gates. No separate addendum is required to understand the current feature set.</w:t>
      </w:r>
    </w:p>
    <w:p>
      <w:r>
        <w:t>Deliver R01 foundations; R02 cost, scores and dashboards; R03 licensing/identity/DevOps; and R04 first business acceptance. Continue with R05 File Store/assets; R06/R07 security feeds and supported bidirectional synchronisation; R06T/R06M technical ITSM, requester portal and mailbox; R08 ATTACK/routing; R09/R09T change/problem and advanced service operations; R10A local AI/budgets; required R10B web/cloud AI; R11 response/adapters; R12 full product acceptance.</w:t>
      </w:r>
    </w:p>
    <w:p>
      <w:pPr>
        <w:pStyle w:val="Heading2"/>
        <w:keepNext/>
      </w:pPr>
      <w:r>
        <w:rPr>
          <w:color w:val="000000"/>
        </w:rPr>
        <w:t>Confirmed choices and remaining implementation decisions</w:t>
      </w:r>
    </w:p>
    <w:p>
      <w:pPr>
        <w:pStyle w:val="ListBullet"/>
      </w:pPr>
      <w:r>
        <w:t>Licence policy: third-party UI component code remains MIT under the direct requirement; unmodified Apache-2.0 icon and OFL-1.1 font assets are accepted under SOC-D018 with notices and per-asset SBOM records. Non-UI dependencies follow the commercial-use policy in SOC-D044, including unmodified LGPL package references with obligations checked. Unknown or prohibited application dependencies fail admission. MongoDB Atlas hosted service and Qdrant infrastructure remain allowed. This is not a claim that all SDKs fonts or service software are MIT.</w:t>
      </w:r>
    </w:p>
    <w:p>
      <w:pPr>
        <w:pStyle w:val="ListBullet"/>
      </w:pPr>
      <w:r>
        <w:t>Deployment choices are Windows App Service one application project Reader/Executor modes Atlas customer and operator stores and Qdrant on an Azure VM. Choose tiers regions private paths backups recovery and measured limits under V5-D01 to V5-D08. Customer-provided networks and backup terms do not replace application-side endpoint validation.</w:t>
      </w:r>
    </w:p>
    <w:p>
      <w:pPr>
        <w:pStyle w:val="ListBullet"/>
      </w:pPr>
      <w:r>
        <w:t>Customer access and commercial evidence: establish billing agreements scopes currencies contract prices renewals report privacy settings available licences and consent before each relevant connector release. Unsupported permissions and missing telemetry produce explicit coverage gaps.</w:t>
      </w:r>
    </w:p>
    <w:p>
      <w:pPr>
        <w:pStyle w:val="ListBullet"/>
      </w:pPr>
      <w:r>
        <w:t>Source and model support: freeze a tested API capability register per release, with Microsoft score models and portal scopes kept distinct. Revalidate current official APIs and NIST references during implementation. Required outcomes remain binding; exact supported API versions and implementation choices require release validation.</w:t>
      </w:r>
    </w:p>
    <w:p>
      <w:pPr>
        <w:pStyle w:val="ListBullet"/>
      </w:pPr>
      <w:r>
        <w:t>Ownership and scheduling: assign named owners pilot tenants staffing and dates at R00. Release IDs define sequence and acceptance boundaries; no project duration or business sign off is implied by this document.</w:t>
      </w:r>
    </w:p>
    <w:p>
      <w:pPr>
        <w:pStyle w:val="Heading2"/>
        <w:keepNext/>
      </w:pPr>
      <w:r>
        <w:rPr>
          <w:color w:val="000000"/>
        </w:rPr>
        <w:t>Change and acceptance control</w:t>
      </w:r>
    </w:p>
    <w:p>
      <w:r>
        <w:t>Maintain requirement to task to test to release traceability. A module is complete only when all of its required outcomes and acceptance criteria pass; a partial release lists every deferred requirement and its owning future milestone. Research may change the suggested HOW, with a recorded design decision, but cannot remove a required WHAT without an approved scope change. Any unavailable source capability is recorded and resolved or explicitly accepted as an exclusion before the affected release claim.</w:t>
      </w:r>
    </w:p>
    <w:p>
      <w:r>
        <w:rPr>
          <w:sz w:val="16"/>
        </w:rPr>
        <w:t>Licence intake follows SOC-D018 for UI assets and SOC-D044 for non-UI application packages; V5-S18 records the public-code and exact-package verification boundary. MongoDB Atlas hosted terms are distinct from admitting a Community Server SSPL code dependency.</w:t>
      </w:r>
    </w:p>
    <w:p>
      <w:bookmarkStart w:id="72" w:name="orca_ch_072"/>
      <w:pPr>
        <w:pStyle w:val="Heading1"/>
        <w:keepNext/>
        <w:pageBreakBefore/>
      </w:pPr>
      <w:r>
        <w:rPr>
          <w:color w:val="000000"/>
        </w:rPr>
        <w:t>Complete permission catalogue and roles</w:t>
      </w:r>
      <w:bookmarkEnd w:id="72"/>
    </w:p>
    <w:p>
      <w:r>
        <w:t>The role catalogue in this document includes SOC L1/L2/L3, IR, forensics, engineering, management, AI governance, platform administration, customers, assets, change, problem, finance, licence, identity, DevOps and executive roles. M21 adds service-desk, resolver, group-lead, incident-manager, service-owner and ITSM configuration roles; Requester and scoped request-approver capabilities remain separate contributions; an explicitly entitled operator may use self-service, while a customer guest cannot gain operator privileges. Roles are ceilings, not blanket data grants.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8856"/>
      </w:tblGrid>
      <w:tr>
        <w:trPr>
          <w:cantSplit/>
          <w:tblHeader/>
          <w:tblHeader/>
          <w:cantSplit/>
        </w:trPr>
        <w:tc>
          <w:tcPr>
            <w:tcW w:type="dxa" w:w="936"/>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Owner</w:t>
            </w:r>
          </w:p>
        </w:tc>
        <w:tc>
          <w:tcPr>
            <w:tcW w:type="dxa" w:w="8856"/>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Permission identifiers</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M01</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tenant.read tenant.manage module.manage platform.health.read platform.support.request platform.support.approve</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M02</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uam.read uam.simulate uam.draft uam.publish uam.approve entitlement.manage</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M03</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filestore.read filestore.upload filestore.link filestore.hold filestore.export filestore.malware.export</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M04</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incident.read incident.create incident.update incident.transition comment.internal.write comment.publish</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M05</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sentinel.read sentinel.configure sentinel.sync.write hunt.run</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M06</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defender.read defender.configure defender.sync.write hunt.run</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M07</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asset.read asset.manage asset.merge asset.export</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M08</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attack.catalogue.read attack.catalogue.import attack.catalogue.approve attack.mapping.write control.manage control.validate</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M09</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roster.read roster.manage routing.configure routing.assign routing.acknowledge</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M10</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ai.infer ai.trace.read ai.model.configure ai.web.use ai.evaluate</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M11</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budget.read budget.manage budget.group.assign budget.reconcile</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M12</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response.propose response.approve response.execute response.verify response.compensate playbook.publish</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M13</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change.read change.request change.manage change.approve change.schedule change.review</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M14</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problem.read problem.manage problem.publish problem.export</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M15</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dashboard.executive.read dashboard.technical.read report.export dashboard.crossTenant.read</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M16</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integration.read integration.configure notification.send notification.read notification.acknowledge</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M17</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cost.read cost.amounts.read cost.contracts.read cost.scenario.manage commitment.read commitment.purchase.request</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M18</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licence.inventory.read licence.user.read identity.activity.read governance.finding.review</w:t>
            </w:r>
          </w:p>
        </w:tc>
      </w:tr>
      <w:tr>
        <w:trPr>
          <w:cantSplit/>
          <w:cantSplit/>
        </w:trPr>
        <w:tc>
          <w:tcPr>
            <w:tcW w:type="dxa" w:w="93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M19</w:t>
            </w:r>
          </w:p>
        </w:tc>
        <w:tc>
          <w:tcPr>
            <w:tcW w:type="dxa" w:w="885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devops.governance.read devops.configure devops.recommendation.review</w:t>
            </w:r>
          </w:p>
        </w:tc>
      </w:tr>
      <w:tr>
        <w:trPr>
          <w:cantSplit/>
          <w:cantSplit/>
        </w:trPr>
        <w:tc>
          <w:tcPr>
            <w:tcW w:type="dxa" w:w="93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M20</w:t>
            </w:r>
          </w:p>
        </w:tc>
        <w:tc>
          <w:tcPr>
            <w:tcW w:type="dxa" w:w="885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posture.read posture.configure posture.recommendation.review</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M21</w:t>
            </w:r>
          </w:p>
        </w:tc>
        <w:tc>
          <w:tcPr>
            <w:tcW w:type="dxa" w:w="88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r>
              <w:t>itsm.ticket.create read triage assign transition; itsm.comment.public/private; itsm.major.manage; itsm.request.approve; itsm.catalogue.publish; itsm.sla.manage; itsm.sla.read; itsm.catalogue.read; itsm.knowledge.read; itsm.report.read; service.read</w:t>
            </w:r>
          </w:p>
        </w:tc>
      </w:tr>
      <w:tr>
        <w:trPr>
          <w:cantSplit/>
        </w:trPr>
        <w:tc>
          <w:tcPr>
            <w:tcW w:type="dxa" w:w="93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M22</w:t>
            </w:r>
          </w:p>
        </w:tc>
        <w:tc>
          <w:tcPr>
            <w:tcW w:type="dxa" w:w="8856"/>
            <w:vAlign w:val="cente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line="245" w:lineRule="auto"/>
            </w:pPr>
            <w:r>
              <w:rPr>
                <w:color w:val="000000"/>
                <w:sz w:val="18"/>
              </w:rPr>
              <w:t>mailbox.configure; mailbox.rules.read/draft/publish; mailbox.rule.test; mailbox.replay; mailbox.health.read</w:t>
            </w:r>
          </w:p>
        </w:tc>
      </w:tr>
      <w:tr>
        <w:trPr>
          <w:cantSplit/>
        </w:trPr>
        <w:tc>
          <w:tcPr>
            <w:tcW w:type="dxa" w:w="93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line="245" w:lineRule="auto"/>
            </w:pPr>
            <w:r>
              <w:rPr>
                <w:color w:val="000000"/>
                <w:sz w:val="18"/>
              </w:rPr>
              <w:t>M23</w:t>
            </w:r>
          </w:p>
        </w:tc>
        <w:tc>
          <w:tcPr>
            <w:tcW w:type="dxa" w:w="8856"/>
            <w:vAlign w:val="cente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r>
              <w:t>requester.portal.enter; requester.ticket.create/read-own/comment; requester.request.approve-scoped; requester.resolve.accept/reject; requester.reopen.request; requester.ticket.submit-on-behalf; requester.department.read</w:t>
            </w:r>
          </w:p>
        </w:tc>
      </w:tr>
    </w:tbl>
    <w:p>
      <w:pPr>
        <w:keepNext w:val="0"/>
        <w:keepLines w:val="0"/>
        <w:pageBreakBefore w:val="0"/>
        <w:spacing w:before="0" w:after="0" w:line="20" w:lineRule="exact"/>
      </w:pPr>
    </w:p>
    <w:p>
      <w:bookmarkStart w:id="73" w:name="orca_ch_073"/>
      <w:pPr>
        <w:pStyle w:val="Heading1"/>
        <w:keepNext/>
        <w:pageBreakBefore w:val="0"/>
      </w:pPr>
      <w:r>
        <w:rPr>
          <w:color w:val="000000"/>
        </w:rPr>
        <w:t>Acceptance and release traceability</w:t>
      </w:r>
      <w:bookmarkEnd w:id="73"/>
    </w:p>
    <w:p>
      <w:r>
        <w:t>Existing engine ACs and earlier T and A tests remain required. The rows below add explicit evidence for the corrections and cover every module. AC numbers refer to the unchanged engine acceptance checklists; a scenario may support several criteria but does not replace them. Release gates use all required module criteria, not only the sample test rows.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1440"/>
        <w:gridCol w:w="3312"/>
        <w:gridCol w:w="3816"/>
      </w:tblGrid>
      <w:tr>
        <w:trPr>
          <w:cantSplit/>
          <w:tblHeader/>
          <w:tblHeader/>
          <w:cantSplit/>
        </w:trPr>
        <w:tc>
          <w:tcPr>
            <w:tcW w:type="dxa" w:w="1224"/>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Test and owner</w:t>
            </w:r>
          </w:p>
        </w:tc>
        <w:tc>
          <w:tcPr>
            <w:tcW w:type="dxa" w:w="1440"/>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AC and release</w:t>
            </w:r>
          </w:p>
        </w:tc>
        <w:tc>
          <w:tcPr>
            <w:tcW w:type="dxa" w:w="3312"/>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Scenario</w:t>
            </w:r>
          </w:p>
        </w:tc>
        <w:tc>
          <w:tcPr>
            <w:tcW w:type="dxa" w:w="3816"/>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Required evidence</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V5-T01</w:t>
              <w:br/>
              <w:t>M01</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AC4</w:t>
              <w:br/>
              <w:t>R01</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Customer-issued token or wrong environment, forged tenant route or missing marker</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Deny; no data or privilege accepted</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V5-T02</w:t>
              <w:br/>
              <w:t>M02</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R01</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Guest operator role; subject deny; role deny with second allowing role; empty tenant override</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Guest operator ceiling refused; exact deny semantics and independent publication</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V5-T03</w:t>
              <w:br/>
              <w:t>M01</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AC3</w:t>
              <w:br/>
              <w:t>R01</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Customer DB rollback marker mismatch no transactions or altered command-looking record</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Quarantine or fail closed; no command authority from customer store</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V5-T04</w:t>
              <w:br/>
              <w:t>M01</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AC2 AC3</w:t>
              <w:br/>
              <w:t>R01</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Crash before/after customer commit and operator Outcome; proof expires</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One durable operation or explicit Undetermined/Expired; no outward event without Outcome</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V5-T05</w:t>
              <w:br/>
              <w:t>M03</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R05</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Malware unscanned oversize stale verdict spoofed tag or scanner unavailable</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Custody retained; no preview AI or indexing; only authorised wrapped export</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V5-T06</w:t>
              <w:br/>
              <w:t>M03</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AC4</w:t>
              <w:br/>
              <w:t>R05 R10</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Same bytes two tenant containers hash attach attempt ACL revoke unlink legal hold</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No existence timing content or deletion leak; immutable file links respected</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V5-T07</w:t>
              <w:br/>
              <w:t>M04</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R06 R07</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Compound inbox replay concurrent local remote change provider redirect and alias</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One source link; ownership conflict preserved; redirect not resolution</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V5-T08</w:t>
              <w:br/>
              <w:t>M05</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R06</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Manual API playbook Sentinel exceptions comment edit native sync workspace overlap</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Authoritative route plus capability gaps visible; no duplicate ingestion</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V5-T09</w:t>
              <w:br/>
              <w:t>M06</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R07</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Native hunting denied; Graph hunting inaccessible workspace; accepted action times out</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No retired route or silent workspace fallback; unknown action read back</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V5-T10</w:t>
              <w:br/>
              <w:t>M07</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R05</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Ambiguous asset merge split stale source and source removal</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Review and lineage preserved; missing observation is not deletion</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V5-T11</w:t>
              <w:br/>
              <w:t>M08</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R08</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Current STIX deprecation legacy data source invalid snapshot rollback</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History retained; validated activation only; no false effective coverage</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V5-T12</w:t>
              <w:br/>
              <w:t>M09</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R08</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Concurrent WorkReference routing owner revision conflict DST primary and backup absence</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M09 only writes cursor/lease; owner applies assignment once or rejects</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V5-T13</w:t>
              <w:br/>
              <w:t>M10</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 AC4</w:t>
              <w:br/>
              <w:t>R10A</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Cloud AI egress blocked local indexing chat missing capability malicious prompt</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Local AI all stages; no fallback; ACL and tool authority remain enforced</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V5-T14</w:t>
              <w:br/>
              <w:t>M10</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AC2 AC3</w:t>
              <w:br/>
              <w:t>R10A</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Two containers same bytes two clusters engine gate null Radzen service bypass</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Tenant prefix and gate enforced; SOC production null gate denies</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V5-T15</w:t>
              <w:br/>
              <w:t>M10</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AC3 AC4</w:t>
              <w:br/>
              <w:t>R10B</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Held-out labelled questions unsupported facts wrong citation page web SSRF provider switch</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Independent evaluation gate; limitations or abstention; web later mode tested</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V5-T16</w:t>
              <w:br/>
              <w:t>M11</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R10A</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Parallel last-token requests OCR embeddings retry delayed usage or customer-side counter edits</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Trusted atomic reservation; no bypass reset double charge or early release</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V5-T17</w:t>
              <w:br/>
              <w:t>M12</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R11</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Kill switch after lease before go expired or replayed go unknown provider partial failure</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No fresh go means no execution; unknown read back; compensation separately authorised</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V5-T18</w:t>
              <w:br/>
              <w:t>M13</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R09</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Material change after approval self approval window conflict missing mandatory change gate</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Invalidate approval and block execution; versioned evidence retained</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V5-T19</w:t>
              <w:br/>
              <w:t>M14</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R09</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Incident closes while problem open unpublished known error or revoked reader</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Independent lifecycle; only published permitted knowledge exposed</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V5-T20</w:t>
              <w:br/>
              <w:t>M15</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R02 R04 R12</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Duplicate late fact mixed currency score model denied cross-tenant aggregate</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Idempotent projection compatible units or explicit refusal; no leakage</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V5-T21</w:t>
              <w:br/>
              <w:t>M16</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R04 R11</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Teams missing consent install stale conversation duplicate delivery forged acknowledgement</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Visible unsupported state; operator receipt and authenticated ack only</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V5-T22</w:t>
              <w:br/>
              <w:t>M17</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R02 R04</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Low CPU peak season DR dependencies reservation overlap customer rates absent</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No unsafe or double-counted saving; value unknown when evidence absent</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V5-T23</w:t>
              <w:br/>
              <w:t>M18</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R03 R04</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Guest portal activity mistaken as customer activity hidden reports group licence hold</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Correct directory scope; unknown not inactive; seat not cash; no unsafe removal</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V5-T24</w:t>
              <w:br/>
              <w:t>M19</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AC2 AC3</w:t>
              <w:br/>
              <w:t>R03 R04</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Automation identity bundled entitlement source job cost duplicated with Azure</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Correct entitlement and unique attribution; no invented Microsoft score</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V5-T25</w:t>
              <w:br/>
              <w:t>M20</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AC1 AC2 AC3</w:t>
              <w:br/>
              <w:t>R02 R04</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Same component name across classic and risk score scopes missing denominator</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Separate models portal parity timestamps coverage and unavailable labels</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V5-T26</w:t>
              <w:br/>
              <w:t>M01</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AC2 AC3</w:t>
              <w:br/>
              <w:t>R12</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Restore operator data immutable audit Qdrant queue jobs and customer data independently</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Meet scoped recovery targets; customer terms honoured; no stale action replay</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V5-T27</w:t>
              <w:br/>
              <w:t>M01</w:t>
            </w:r>
          </w:p>
        </w:tc>
        <w:tc>
          <w:tcPr>
            <w:tcW w:type="dxa" w:w="14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AC2 AC4</w:t>
              <w:br/>
              <w:t>R01</w:t>
            </w:r>
          </w:p>
        </w:tc>
        <w:tc>
          <w:tcPr>
            <w:tcW w:type="dxa" w:w="331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Introduce non-MIT UI code or permitted unmodified Apache/OFL asset; missing licence</w:t>
            </w:r>
          </w:p>
        </w:tc>
        <w:tc>
          <w:tcPr>
            <w:tcW w:type="dxa" w:w="3816"/>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Code policy and declared exceptions checked separately; unknown blocks admission</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V5-T28</w:t>
              <w:br/>
              <w:t>M02</w:t>
            </w:r>
          </w:p>
        </w:tc>
        <w:tc>
          <w:tcPr>
            <w:tcW w:type="dxa" w:w="14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AC1 AC4</w:t>
              <w:br/>
              <w:t>R01 R12</w:t>
            </w:r>
          </w:p>
        </w:tc>
        <w:tc>
          <w:tcPr>
            <w:tcW w:type="dxa" w:w="331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Live membership removal cached read background requester or null job identity</w:t>
            </w:r>
          </w:p>
        </w:tc>
        <w:tc>
          <w:tcPr>
            <w:tcW w:type="dxa" w:w="3816"/>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Entitlement version invalidation and proper job identity; no fake system grant</w:t>
            </w:r>
          </w:p>
        </w:tc>
      </w:tr>
    </w:tbl>
    <w:p>
      <w:pPr>
        <w:keepNext w:val="0"/>
        <w:keepLines w:val="0"/>
        <w:pageBreakBefore w:val="0"/>
        <w:spacing w:before="0" w:after="0" w:line="20" w:lineRule="exact"/>
      </w:pPr>
    </w:p>
    <w:p>
      <w:bookmarkStart w:id="74" w:name="orca_ch_074"/>
      <w:pPr>
        <w:pStyle w:val="Heading1"/>
        <w:keepNext/>
        <w:pageBreakBefore/>
      </w:pPr>
      <w:r>
        <w:rPr>
          <w:color w:val="000000"/>
        </w:rPr>
        <w:t>Implementation decisions and evidence limits</w:t>
      </w:r>
      <w:bookmarkEnd w:id="74"/>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2880"/>
        <w:gridCol w:w="5688"/>
      </w:tblGrid>
      <w:tr>
        <w:trPr>
          <w:cantSplit/>
          <w:tblHeader/>
          <w:tblHeader/>
          <w:cantSplit/>
        </w:trPr>
        <w:tc>
          <w:tcPr>
            <w:tcW w:type="dxa" w:w="1224"/>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Decision</w:t>
            </w:r>
          </w:p>
        </w:tc>
        <w:tc>
          <w:tcPr>
            <w:tcW w:type="dxa" w:w="2880"/>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Status and source</w:t>
            </w:r>
          </w:p>
        </w:tc>
        <w:tc>
          <w:tcPr>
            <w:tcW w:type="dxa" w:w="5688"/>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Required next step</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V5-D01</w:t>
            </w:r>
          </w:p>
        </w:tc>
        <w:tc>
          <w:tcPr>
            <w:tcW w:type="dxa" w:w="288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Pending implementation approval</w:t>
              <w:br/>
              <w:t>SOC-D050 S1</w:t>
            </w:r>
          </w:p>
        </w:tc>
        <w:tc>
          <w:tcPr>
            <w:tcW w:type="dxa" w:w="5688"/>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Operator per-tenant credential isolation versus control credential reuse. Recommend database-scoped credentials or bounded cohorts with measured project limits; broad control credentials increase blast radius.</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V5-D02</w:t>
            </w:r>
          </w:p>
        </w:tc>
        <w:tc>
          <w:tcPr>
            <w:tcW w:type="dxa" w:w="288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Pending implementation approval</w:t>
              <w:br/>
              <w:t>SOC-D050 to D059</w:t>
            </w:r>
          </w:p>
        </w:tc>
        <w:tc>
          <w:tcPr>
            <w:tcW w:type="dxa" w:w="5688"/>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Exact audit export seal format registry mirror behaviour marker lifecycle quarantine recovery and minimal registry approval defaults. Required outcomes are immutable external audit and no unsafe customer restore.</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V5-D03</w:t>
            </w:r>
          </w:p>
        </w:tc>
        <w:tc>
          <w:tcPr>
            <w:tcW w:type="dxa" w:w="288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Open sizing and service targets</w:t>
              <w:br/>
              <w:t>F-14 F-18 SOC-D017</w:t>
            </w:r>
          </w:p>
        </w:tc>
        <w:tc>
          <w:tcPr>
            <w:tcW w:type="dxa" w:w="5688"/>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Measure pools namespaces engine memory Qdrant recovery and browser latency. Operator RTO 4h/RPO 15m target requires evidence; customer backup terms and service-level commitments remain separately approved.</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V5-D04</w:t>
            </w:r>
          </w:p>
        </w:tc>
        <w:tc>
          <w:tcPr>
            <w:tcW w:type="dxa" w:w="288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Proposed transport default</w:t>
              <w:br/>
              <w:t>F-17 SOC-D054 D065</w:t>
            </w:r>
          </w:p>
        </w:tc>
        <w:tc>
          <w:tcPr>
            <w:tcW w:type="dxa" w:w="5688"/>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Mongo ordered outbox Hangfire Reader jobs Executor timed dispatch, no Service Bus initially. Benchmark burst latency and failure modes before freezing the deployment.</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V5-D05</w:t>
            </w:r>
          </w:p>
        </w:tc>
        <w:tc>
          <w:tcPr>
            <w:tcW w:type="dxa" w:w="288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Pending structural approval</w:t>
              <w:br/>
              <w:t>SOC-D054 D063 D065</w:t>
            </w:r>
          </w:p>
        </w:tc>
        <w:tc>
          <w:tcPr>
            <w:tcW w:type="dxa" w:w="5688"/>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Intent/Outcome canonical serializer projection and parameter hashes contract version rules rollback counters proof retention 400 days and Undetermined terminal policy. These are defaults in the source, not reported Ashwin approvals.</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V5-D06</w:t>
            </w:r>
          </w:p>
        </w:tc>
        <w:tc>
          <w:tcPr>
            <w:tcW w:type="dxa" w:w="288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Pending structural approval</w:t>
              <w:br/>
              <w:t>SOC-D061 D062 D064</w:t>
            </w:r>
          </w:p>
        </w:tc>
        <w:tc>
          <w:tcPr>
            <w:tcW w:type="dxa" w:w="5688"/>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Request-derived identity and signed requester jobs are mandatory safety outcomes. Exact sign-in handler sync collection schema 180-minute offline membership limit and degraded sign-in record queue are source defaults requiring review.</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V5-D07</w:t>
            </w:r>
          </w:p>
        </w:tc>
        <w:tc>
          <w:tcPr>
            <w:tcW w:type="dxa" w:w="288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Open AI quality and networking</w:t>
              <w:br/>
              <w:t>F-32 F-33 SOC-D029 D034</w:t>
            </w:r>
          </w:p>
        </w:tc>
        <w:tc>
          <w:tcPr>
            <w:tcW w:type="dxa" w:w="5688"/>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Approve evaluation case count and quality thresholds model versions local hardware private path streaming limits and two-container/two-cluster evidence before M10 pilot.</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V5-D08</w:t>
            </w:r>
          </w:p>
        </w:tc>
        <w:tc>
          <w:tcPr>
            <w:tcW w:type="dxa" w:w="288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Reported built not independently verified</w:t>
              <w:br/>
              <w:t>SOC-D034 D042 D060</w:t>
            </w:r>
          </w:p>
        </w:tc>
        <w:tc>
          <w:tcPr>
            <w:tcW w:type="dxa" w:w="5688"/>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Obtain F1 F2 engine package source hashes review reports and test evidence. Do not mark production milestone accepted from the reported local gate counts.</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V5-D09</w:t>
            </w:r>
          </w:p>
        </w:tc>
        <w:tc>
          <w:tcPr>
            <w:tcW w:type="dxa" w:w="288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Confirmed sequence with phased features</w:t>
              <w:br/>
              <w:t>Latest conversation; SOC-D021</w:t>
            </w:r>
          </w:p>
        </w:tc>
        <w:tc>
          <w:tcPr>
            <w:tcW w:type="dxa" w:w="5688"/>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Cost scores licensing and dashboards first; Sentinel first only in incident phase. Local AI first web research later; cross-customer dashboards later without dropping scope.</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V5-D10</w:t>
            </w:r>
          </w:p>
        </w:tc>
        <w:tc>
          <w:tcPr>
            <w:tcW w:type="dxa" w:w="288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Confirmed application policy</w:t>
              <w:br/>
              <w:t>SOC-D018 D044; latest conversation</w:t>
            </w:r>
          </w:p>
        </w:tc>
        <w:tc>
          <w:tcPr>
            <w:tcW w:type="dxa" w:w="5688"/>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MIT UI component code; unmodified Apache/OFL bundled assets allowed; non-UI commercially usable package policy and notices recorded. Hosted MongoDB Atlas and Qdrant infrastructure remain allowed.</w:t>
            </w:r>
          </w:p>
        </w:tc>
      </w:tr>
      <w:tr>
        <w:trPr>
          <w:cantSplit/>
          <w:cantSplit/>
        </w:trPr>
        <w:tc>
          <w:tcPr>
            <w:tcW w:type="dxa" w:w="1224"/>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V5-D11</w:t>
            </w:r>
          </w:p>
        </w:tc>
        <w:tc>
          <w:tcPr>
            <w:tcW w:type="dxa" w:w="288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Open reuse intake</w:t>
              <w:br/>
              <w:t>SOC-D040; study section 6</w:t>
            </w:r>
          </w:p>
        </w:tc>
        <w:tc>
          <w:tcPr>
            <w:tcW w:type="dxa" w:w="5688"/>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Confirm code ownership/reuse rights package provenance and exact versions from the source repositories. Keep provenance in closing reports and preserve all third-party notices; do not infer ownership from a capability report.</w:t>
            </w:r>
          </w:p>
        </w:tc>
      </w:tr>
      <w:tr>
        <w:trPr>
          <w:cantSplit/>
          <w:cantSplit/>
        </w:trPr>
        <w:tc>
          <w:tcPr>
            <w:tcW w:type="dxa" w:w="1224"/>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V5-D12</w:t>
            </w:r>
          </w:p>
        </w:tc>
        <w:tc>
          <w:tcPr>
            <w:tcW w:type="dxa" w:w="288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Pending external process evidence</w:t>
              <w:br/>
              <w:t>SOC-D002 D010 D022 D049</w:t>
            </w:r>
          </w:p>
        </w:tc>
        <w:tc>
          <w:tcPr>
            <w:tcW w:type="dxa" w:w="5688"/>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Register requests a named-model independent review and local integration protocol. No Opus review or repository build is performed in this document task. Keep independent project review as a release gate; retain developer and user guides as delivery outputs.</w:t>
            </w:r>
          </w:p>
        </w:tc>
      </w:tr>
    </w:tbl>
    <w:p>
      <w:pPr>
        <w:keepNext w:val="0"/>
        <w:keepLines w:val="0"/>
        <w:pageBreakBefore w:val="0"/>
        <w:spacing w:before="0" w:after="0" w:line="20" w:lineRule="exact"/>
      </w:pPr>
    </w:p>
    <w:p>
      <w:bookmarkStart w:id="75" w:name="orca_ch_075"/>
      <w:pPr>
        <w:pStyle w:val="Heading1"/>
        <w:keepNext/>
        <w:pageBreakBefore/>
      </w:pPr>
      <w:r>
        <w:rPr>
          <w:color w:val="000000"/>
        </w:rPr>
        <w:t>Shared contracts and trusted operations</w:t>
      </w:r>
      <w:bookmarkEnd w:id="75"/>
    </w:p>
    <w:p>
      <w:r>
        <w:t>These contracts define information and authority boundaries. Exact C# members serialisation projection and hash versions must be reconciled with the frozen foundation contracts and latest F5 brief before implementation. Contract-bearing types ship together; breaking changes require the integration lane a version bump fixtures hash tests and all dependent consumers. No unsupported signature is represented as existing source code.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6840"/>
      </w:tblGrid>
      <w:tr>
        <w:trPr>
          <w:cantSplit/>
          <w:tblHeader/>
          <w:tblHeader/>
          <w:cantSplit/>
        </w:trPr>
        <w:tc>
          <w:tcPr>
            <w:tcW w:type="dxa" w:w="2952"/>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Contract and owner</w:t>
            </w:r>
          </w:p>
        </w:tc>
        <w:tc>
          <w:tcPr>
            <w:tcW w:type="dxa" w:w="6840"/>
            <w:vAlign w:val="center"/>
            <w:shd w:fill="243E53"/>
            <w:tcMar>
              <w:top w:w="70" w:type="dxa"/>
              <w:left w:w="70" w:type="dxa"/>
              <w:bottom w:w="70" w:type="dxa"/>
              <w:right w:w="70" w:type="dxa"/>
            </w:tcMar>
            <w:tcBorders>
              <w:top w:val="single" w:sz="4" w:color="D9D9D9"/>
              <w:left w:val="single" w:sz="4" w:color="D9D9D9"/>
              <w:bottom w:val="single" w:sz="4" w:color="D9D9D9"/>
              <w:right w:val="single" w:sz="4" w:color="D9D9D9"/>
            </w:tcBorders>
            <w:shd w:fill="163E50"/>
            <w:tcMar>
              <w:top w:w="70" w:type="dxa"/>
              <w:left w:w="70" w:type="dxa"/>
              <w:bottom w:w="70" w:type="dxa"/>
              <w:right w:w="70" w:type="dxa"/>
            </w:tcMar>
          </w:tcPr>
          <w:p>
            <w:pPr>
              <w:keepNext w:val="0"/>
              <w:keepLines w:val="0"/>
              <w:spacing w:after="40" w:before="40" w:line="245" w:lineRule="auto"/>
            </w:pPr>
            <w:r>
              <w:rPr>
                <w:b/>
                <w:color w:val="FFFFFF"/>
                <w:sz w:val="18"/>
              </w:rPr>
              <w:t>Required information</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ModuleDescriptor / M01</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ID version capabilities mandatory and optional dependencies enablement migration compatibility health. Disable policy is defined by F5 not invented in an engine.</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TenantRecord / M01</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ID immutable code customer directory membership group state store references marker and observed cluster identity configuration revision quarantine history. Secrets are references only.</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TenantContext / foundation</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Foundation-issued tenant store binding access mode actor environment correlation policy and entitlement versions; engines cannot mint or substitute it.</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PermissionDecision / M02</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Actor effective roles membership action resource allowed reason subject and role denial evidence matrix and entitlement versions decision ID time and scope.</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IncidentEnvelope / M04 source</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Tenant connector instance event ID source kind source ID version observation time scope raw enum provenance payload hash and trace correlation.</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AssetObservation / M07</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Source immutable identity observed attributes time confidence completeness and absence semantics; no assignment authorisation.</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WorkReference / M09 owner port</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Tenant owner module record ID revision work type priority required skills team and due policy; assignment conditional on owner revision.</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ApprovalReference / foundation</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Approval ID immutable subject projection parameters hash policy requester approver validity expiry independent decision. Parameter and subject hashes are distinct.</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ApprovedCommand / M12</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Typed immutable parameters approval ID expected approval projection tenant target action kind policy version expiry environment and command ID. Go recomputes hashes.</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FileReference / M03</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Tenant file and immutable version hash ACL revision sensitivity hold scan/custody state and purpose. A link never expands access.</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AiUsageReceipt / M11</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Tenant requester primary charge group mandatory caps request reservation provider model service usage measured time settlement state and provenance.</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DomainEvent / owner</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Event ID tenant aggregate revision schema occurred time correlation causation and classified payload reference. Ordering and delivery policy are registered per kind.</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FactPublication / M15</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Stable fact ID record/aggregate granularity owner revision metric model unit window asOf coverage classification and replay identity.</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NotificationRequest and Receipt / M16</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Tenant recipient content reference template channel purpose idempotency key delivery attempt remote ID and explicit authenticated acknowledgement.</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SourceRoute / source kit</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Family customer directory workspace/subscription source model authoritative routes Read/Respond app identity capability manifest probe date and exclusion.</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RelayCommand GoDecision Result / foundation</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Command identity nonce parameter and policy hashes exact target expiry signature and approved action; single-use go binds command; result includes provider ID evidence and UnknownOutcome.</w:t>
            </w:r>
          </w:p>
        </w:tc>
      </w:tr>
      <w:tr>
        <w:trPr>
          <w:cantSplit/>
          <w:cantSplit/>
        </w:trPr>
        <w:tc>
          <w:tcPr>
            <w:tcW w:type="dxa" w:w="2952"/>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ChangeGate / M13</w:t>
            </w:r>
          </w:p>
        </w:tc>
        <w:tc>
          <w:tcPr>
            <w:tcW w:type="dxa" w:w="6840"/>
            <w:vAlign w:val="center"/>
            <w:shd w:fill="F0F4F7"/>
            <w:tcMar>
              <w:top w:w="70" w:type="dxa"/>
              <w:left w:w="70" w:type="dxa"/>
              <w:bottom w:w="70" w:type="dxa"/>
              <w:right w:w="70" w:type="dxa"/>
            </w:tcMar>
            <w:tcBorders>
              <w:top w:val="single" w:sz="4" w:color="D9D9D9"/>
              <w:left w:val="single" w:sz="4" w:color="D9D9D9"/>
              <w:bottom w:val="single" w:sz="4" w:color="D9D9D9"/>
              <w:right w:val="single" w:sz="4" w:color="D9D9D9"/>
            </w:tcBorders>
            <w:shd w:fill="FFFFFF"/>
            <w:tcMar>
              <w:top w:w="70" w:type="dxa"/>
              <w:left w:w="70" w:type="dxa"/>
              <w:bottom w:w="70" w:type="dxa"/>
              <w:right w:w="70" w:type="dxa"/>
            </w:tcMar>
          </w:tcPr>
          <w:p>
            <w:pPr>
              <w:keepNext w:val="0"/>
              <w:keepLines w:val="0"/>
              <w:spacing w:after="40" w:before="40" w:line="245" w:lineRule="auto"/>
            </w:pPr>
            <w:r>
              <w:rPr>
                <w:b w:val="0"/>
                <w:color w:val="000000"/>
                <w:sz w:val="18"/>
              </w:rPr>
              <w:t>Versioned approved change subject schedule scope gates rollback plan and authorisation result; missing required dependency denies.</w:t>
            </w:r>
          </w:p>
        </w:tc>
      </w:tr>
      <w:tr>
        <w:trPr>
          <w:cantSplit/>
          <w:cantSplit/>
        </w:trPr>
        <w:tc>
          <w:tcPr>
            <w:tcW w:type="dxa" w:w="2952"/>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Intent CustomerProof Outcome / foundation</w:t>
            </w:r>
          </w:p>
        </w:tc>
        <w:tc>
          <w:tcPr>
            <w:tcW w:type="dxa" w:w="6840"/>
            <w:vAlign w:val="center"/>
            <w:shd w:fill="FFFFFF"/>
            <w:tcMar>
              <w:top w:w="70" w:type="dxa"/>
              <w:left w:w="70" w:type="dxa"/>
              <w:bottom w:w="70" w:type="dxa"/>
              <w:right w:w="70" w:type="dxa"/>
            </w:tcMar>
            <w:tcBorders>
              <w:top w:val="single" w:sz="4" w:color="D9D9D9"/>
              <w:left w:val="single" w:sz="4" w:color="D9D9D9"/>
              <w:bottom w:val="single" w:sz="4" w:color="D9D9D9"/>
              <w:right w:val="single" w:sz="4" w:color="D9D9D9"/>
            </w:tcBorders>
            <w:shd w:fill="F1F5F7"/>
            <w:tcMar>
              <w:top w:w="70" w:type="dxa"/>
              <w:left w:w="70" w:type="dxa"/>
              <w:bottom w:w="70" w:type="dxa"/>
              <w:right w:w="70" w:type="dxa"/>
            </w:tcMar>
          </w:tcPr>
          <w:p>
            <w:pPr>
              <w:keepNext w:val="0"/>
              <w:keepLines w:val="0"/>
              <w:spacing w:after="40" w:before="40" w:line="245" w:lineRule="auto"/>
            </w:pPr>
            <w:r>
              <w:rPr>
                <w:b w:val="0"/>
                <w:color w:val="000000"/>
                <w:sz w:val="18"/>
              </w:rPr>
              <w:t>Operator intent hashes requester and expected customer operation; customer proof binds operation and block; operator outcome confirms or terminates. Held events cannot escape without confirmed Outcome.</w:t>
            </w:r>
          </w:p>
        </w:tc>
      </w:tr>
    </w:tbl>
    <w:p>
      <w:pPr>
        <w:keepNext w:val="0"/>
        <w:keepLines w:val="0"/>
        <w:pageBreakBefore w:val="0"/>
        <w:spacing w:before="0" w:after="0" w:line="20" w:lineRule="exact"/>
      </w:pPr>
    </w:p>
    <w:p>
      <w:pPr>
        <w:pStyle w:val="Heading2"/>
        <w:keepNext/>
      </w:pPr>
      <w:r>
        <w:rPr>
          <w:color w:val="000000"/>
        </w:rPr>
        <w:t>Ordered outbox and cross-store recovery</w:t>
      </w:r>
    </w:p>
    <w:p>
      <w:r>
        <w:t>Register each outbox kind with ordering key delivery class executor read-back identity readiness policy and parameter schema. Advance only a per-key head after confirmed delivery explicit terminal result or approved dead letter; never bypass UnknownOutcome for a destructive command. Event delivery may be at least once; command effects must be reconciled rather than assumed exactly once.</w:t>
      </w:r>
    </w:p>
    <w:p>
      <w:r>
        <w:t>Latest F5 defaults: every customer block retains an operator proof for Audit:IntentItemsRetentionDays (400); expired proof ends the held entry as Expired/ProofExpired. Aborted requires a majority-written abort stamp, not a missing record. Undetermined is terminal for that operation and cancels its held entries with intent.undetermined; no in-product resolve path is claimed in F5. These details are pending structural approval V5-D05.</w:t>
      </w:r>
    </w:p>
    <w:p>
      <w:r>
        <w:t>Rollback detection compares the current customer outbox collection counter to the anchored mark, not an individual entry sequence. The counter advances outside the transaction to avoid a restored lower counter appearing safe. Operator confirmations gate customer-held delivery. Canonical serializer uses UTC millisecond time in the latest default; the next hash version is chosen after the highest on main at implementation, never hardcoded to version 3 from an older row.</w:t>
      </w:r>
    </w:p>
    <w:p>
      <w:r>
        <w:t>Use one public permission gate decorator over an internal core. Latest defaults add quarantine start/clear history; Executor has a timed pass without Hangfire, Reader owns jobs; read back unknown heads under registered Read identity; not-ready retries begin at one second and double to the configured cap. These are proposed implementation details, not evidence that F5 exists or passed tests.</w:t>
      </w:r>
    </w:p>
    <w:p>
      <w:r>
        <w:t>Collections are declared once by owner and StoreKind. Engine names use mnn lower snake case; later foundation collections use foundation_ while existing F2 plain names remain per the register. Never globally rename existing collections from documentation. Migration must preserve the frozen contract and written source evidence.</w:t>
      </w:r>
    </w:p>
    <w:p>
      <w:bookmarkStart w:id="76" w:name="orca_ch_076"/>
      <w:pPr>
        <w:pStyle w:val="Heading1"/>
        <w:keepNext/>
        <w:pageBreakBefore/>
      </w:pPr>
      <w:r>
        <w:rPr>
          <w:color w:val="000000"/>
        </w:rPr>
        <w:t>Inherited research and source boundaries</w:t>
      </w:r>
      <w:bookmarkEnd w:id="76"/>
    </w:p>
    <w:p>
      <w:r>
        <w:t>Research checked 18 October 2026 using official Microsoft MongoDB Qdrant MITRE and NIST sources. These checks establish public capability and limitations, not access to a customer sandbox. Earlier S01 to S48 references remain supporting context. Exact package versions all transitive licences source repository changes and Message Center notices require separate intake evidence.</w:t>
      </w:r>
    </w:p>
    <w:p>
      <w:r>
        <w:t>V5-S01 Microsoft Sentinel transition and incident exceptions</w:t>
        <w:br/>
        <w:t>https://learn.microsoft.com/en-us/azure/sentinel/move-to-defender</w:t>
        <w:br/>
        <w:t>Verified public documentation: Graph route and documented incident exceptions.</w:t>
      </w:r>
    </w:p>
    <w:p>
      <w:r>
        <w:t>V5-S02 Sentinel portal transition date</w:t>
        <w:br/>
        <w:t>https://learn.microsoft.com/azure/sentinel/microsoft-sentinel-defender-portal</w:t>
        <w:br/>
        <w:t>Verified: Azure portal support ends after 31 March 2027.</w:t>
      </w:r>
    </w:p>
    <w:p>
      <w:r>
        <w:t>V5-S03 Graph security API migration</w:t>
        <w:br/>
        <w:t>https://learn.microsoft.com/en-us/graph/api/resources/security-api-overview?view=graph-rest-1.0</w:t>
        <w:br/>
        <w:t>Verified: older hunting endpoints stop returning data on 1 February 2027.</w:t>
      </w:r>
    </w:p>
    <w:p>
      <w:r>
        <w:t>V5-S04 Graph hunting and incident model</w:t>
        <w:br/>
        <w:t>https://learn.microsoft.com/en-us/graph/api/security-security-runhuntingquery?view=graph-rest-1.0</w:t>
        <w:br/>
        <w:t>Verified workspace fallback; companion incident resource documents redirected and awaitingAction.</w:t>
      </w:r>
    </w:p>
    <w:p>
      <w:r>
        <w:t>V5-S04b Graph incident resource</w:t>
        <w:br/>
        <w:t>https://learn.microsoft.com/en-us/graph/api/resources/security-incident?view=graph-rest-1.0</w:t>
        <w:br/>
        <w:t>Verified enum and redirect semantics; inbound values do not establish write support.</w:t>
      </w:r>
    </w:p>
    <w:p>
      <w:r>
        <w:t>V5-S05 Defender for Storage malware scanning</w:t>
        <w:br/>
        <w:t>https://learn.microsoft.com/en-us/azure/defender-for-cloud/introduction-malware-scanning</w:t>
        <w:br/>
        <w:t>Verified size support async results tags limitations remediation and Event Grid network limitation.</w:t>
      </w:r>
    </w:p>
    <w:p>
      <w:r>
        <w:t>V5-S06 Entra group application assignment</w:t>
        <w:br/>
        <w:t>https://learn.microsoft.com/en-us/entra/identity/enterprise-apps/assign-user-or-group-access-portal</w:t>
        <w:br/>
        <w:t>Verified P1/P2 prerequisite and no nested group assignment.</w:t>
      </w:r>
    </w:p>
    <w:p>
      <w:r>
        <w:t>V5-S07 Atlas service limits</w:t>
        <w:br/>
        <w:t>https://www.mongodb.com/docs/atlas/reference/atlas-limits/</w:t>
        <w:br/>
        <w:t>Verified tier-dependent namespace connections and per-project limits; recheck pinned topology.</w:t>
      </w:r>
    </w:p>
    <w:p>
      <w:r>
        <w:t>V5-S08 Atlas downloaded snapshot restore</w:t>
        <w:br/>
        <w:t>https://www.mongodb.com/docs/atlas/backup/cloud-backup/restore-from-local-file/</w:t>
        <w:br/>
        <w:t>Verified raw snapshot files are not mongorestore input.</w:t>
      </w:r>
    </w:p>
    <w:p>
      <w:r>
        <w:t>V5-S09 NIST incident response final standard</w:t>
        <w:br/>
        <w:t>https://csrc.nist.gov/pubs/sp/800/61/r3/final</w:t>
        <w:br/>
        <w:t>Verified final 3 April 2025 CSF 2.0 community profile.</w:t>
      </w:r>
    </w:p>
    <w:p>
      <w:r>
        <w:t>V5-S09b NIST CSF FAQ</w:t>
        <w:br/>
        <w:t>https://www.nist.gov/cyberframework/faqs</w:t>
        <w:br/>
        <w:t>Verified ID.IM is Improvement within Identify.</w:t>
      </w:r>
    </w:p>
    <w:p>
      <w:r>
        <w:t>V5-S10 MITRE ATTACK v18 changes</w:t>
        <w:br/>
        <w:t>https://attack.mitre.org/resources/updates/updates-october-2025/</w:t>
        <w:br/>
        <w:t>Verified Data Sources deprecated; current catalogue still discovered from official releases.</w:t>
      </w:r>
    </w:p>
    <w:p>
      <w:r>
        <w:t>V5-S11 App Service outbound VNet integration</w:t>
        <w:br/>
        <w:t>https://learn.microsoft.com/en-us/azure/app-service/overview-vnet-integration</w:t>
        <w:br/>
        <w:t>Verified outbound networking differs from inbound private access; local endpoint routing must be tested.</w:t>
      </w:r>
    </w:p>
    <w:p>
      <w:r>
        <w:t>V5-S12 Teams proactive bot installation</w:t>
        <w:br/>
        <w:t>https://learn.microsoft.com/en-us/microsoftteams/platform/graph-api/proactive-bots-and-messages/graph-proactive-bots-and-messages</w:t>
        <w:br/>
        <w:t>Verified bot installation prerequisite and per-customer consent work.</w:t>
      </w:r>
    </w:p>
    <w:p>
      <w:r>
        <w:t>V5-S13 Managed identity federation</w:t>
        <w:br/>
        <w:t>https://learn.microsoft.com/en-us/entra/workload-id/workload-identity-federation-config-app-trust-managed-identity</w:t>
        <w:br/>
        <w:t>Verified application trust pattern; environment separation is the SOC design.</w:t>
      </w:r>
    </w:p>
    <w:p>
      <w:r>
        <w:t>V5-S14 Qdrant multitenancy</w:t>
        <w:br/>
        <w:t>https://qdrant.tech/documentation/manage-data/multitenancy/</w:t>
        <w:br/>
        <w:t>Verified layout alternatives; self-hosted VM limits must be measured, not copied from Qdrant Cloud quotas.</w:t>
      </w:r>
    </w:p>
    <w:p>
      <w:r>
        <w:t>V5-S15 Graph audit query creation</w:t>
        <w:br/>
        <w:t>https://learn.microsoft.com/en-us/graph/api/security-auditcoreroot-post-auditlogqueries?view=graph-rest-1.0</w:t>
        <w:br/>
        <w:t>Verified v1.0 asynchronous audit query surface, not a universal continuous feed.</w:t>
      </w:r>
    </w:p>
    <w:p>
      <w:r>
        <w:t>V5-S16 Mongo .NET connection pools</w:t>
        <w:br/>
        <w:t>https://www.mongodb.com/docs/drivers/csharp/current/connect/connection-options/connection-pools/</w:t>
        <w:br/>
        <w:t>Verified pool sizing requirement; no Node driver socket count is asserted for .NET.</w:t>
      </w:r>
    </w:p>
    <w:p>
      <w:r>
        <w:t>V5-S17 Lighthouse cross-tenant resource scope</w:t>
        <w:br/>
        <w:t>https://learn.microsoft.com/en-au/azure/lighthouse/concepts/cross-tenant-management-experience</w:t>
        <w:br/>
        <w:t>Verified resource delegation boundaries; per-source Graph consent remains separate.</w:t>
      </w:r>
    </w:p>
    <w:p>
      <w:r>
        <w:t>V5-S18 Radzen project and package admission</w:t>
        <w:br/>
        <w:t>https://github.com/radzenhq/radzen-blazor</w:t>
        <w:br/>
        <w:t>MIT component code verified. Exact font files and pinned 12.1.4 package not fetched in this task; asset inventory is a build intake gate under SOC-D018, not independently verified here.</w:t>
      </w:r>
    </w:p>
    <w:p>
      <w:r>
        <w:t>Supplied inputs: feasibility-study-2026-10-17(1).md and decision-register 2(1).md through SOC-D065. The attachments are preserved unchanged. Internal paths and commit hashes inside them are reported references, not proof of repository inspection. The exact named-model review required by SOC-D002 remains an external project process gate; this task does not claim that review was performed.</w:t>
      </w:r>
    </w:p>
    <w:p>
      <w:bookmarkStart w:id="77" w:name="orca_ch_077"/>
      <w:pPr>
        <w:pStyle w:val="Heading1"/>
        <w:keepNext/>
        <w:pageBreakBefore/>
      </w:pPr>
      <w:r>
        <w:rPr>
          <w:color w:val="000000"/>
        </w:rPr>
        <w:t>Current research and source capability register</w:t>
      </w:r>
      <w:bookmarkEnd w:id="77"/>
    </w:p>
    <w:p>
      <w:r>
        <w:t>The inherited Microsoft, Azure, MongoDB, MITRE and NIST references retain their original dated verification scope. On 26 October 2026 the mailbox integration, ITSM distinction, Graph incident update, cost-analysis and score-model boundaries below were checked against primary documentation. This is not a blanket revalidation of every API or tenant licence. Freeze and test a capability matrix for each release.</w:t>
      </w:r>
    </w:p>
    <w:p>
      <w:pPr>
        <w:pStyle w:val="Heading2"/>
        <w:keepNext/>
      </w:pPr>
      <w:r>
        <w:rPr>
          <w:color w:val="000000"/>
        </w:rPr>
        <w:t>Research references and implementation limits</w:t>
      </w:r>
    </w:p>
    <w:p>
      <w:r>
        <w:t>Primary documentation checked 26 October 2026. Pin API versions and packages during implementation and prove permission/hosting behaviour in the target tenant. Source references support capability boundaries; proposed statuses, schemas, routing and targets are Orca design requirements, not claims that an external standard mandates these exact values.</w:t>
      </w:r>
    </w:p>
    <w:p>
      <w:pPr>
        <w:spacing w:after="120"/>
      </w:pPr>
      <w:r>
        <w:rPr>
          <w:sz w:val="18"/>
        </w:rPr>
        <w:t>R1  Microsoft Graph Outlook change notifications</w:t>
        <w:br/>
        <w:t>https://learn.microsoft.com/en-us/graph/outlook-change-notifications-overview</w:t>
      </w:r>
    </w:p>
    <w:p>
      <w:pPr>
        <w:spacing w:after="120"/>
      </w:pPr>
      <w:r>
        <w:rPr>
          <w:sz w:val="18"/>
        </w:rPr>
        <w:t>R2  Microsoft Graph message delta queries</w:t>
        <w:br/>
        <w:t>https://learn.microsoft.com/en-us/graph/delta-query-messages</w:t>
      </w:r>
    </w:p>
    <w:p>
      <w:pPr>
        <w:spacing w:after="120"/>
      </w:pPr>
      <w:r>
        <w:rPr>
          <w:sz w:val="18"/>
        </w:rPr>
        <w:t>R3  Microsoft Graph webhook delivery</w:t>
        <w:br/>
        <w:t>https://learn.microsoft.com/en-us/graph/change-notifications-delivery-webhooks</w:t>
      </w:r>
    </w:p>
    <w:p>
      <w:pPr>
        <w:spacing w:after="120"/>
      </w:pPr>
      <w:r>
        <w:rPr>
          <w:sz w:val="18"/>
        </w:rPr>
        <w:t>R4  Microsoft Graph immutable Outlook IDs</w:t>
        <w:br/>
        <w:t>https://learn.microsoft.com/en-us/graph/outlook-immutable-id</w:t>
      </w:r>
    </w:p>
    <w:p>
      <w:pPr>
        <w:spacing w:after="120"/>
      </w:pPr>
      <w:r>
        <w:rPr>
          <w:sz w:val="18"/>
        </w:rPr>
        <w:t>R5  Exchange Online Application RBAC</w:t>
        <w:br/>
        <w:t>https://learn.microsoft.com/en-us/exchange/permissions-exo/application-rbac</w:t>
      </w:r>
    </w:p>
    <w:p>
      <w:pPr>
        <w:spacing w:after="120"/>
      </w:pPr>
      <w:r>
        <w:rPr>
          <w:sz w:val="18"/>
        </w:rPr>
        <w:t>R6  PeopleCert ITIL management practice guidance</w:t>
        <w:br/>
        <w:t>https://www.peoplecert.org/news-and-announcements/2023/itil-4-management-practices-2023</w:t>
      </w:r>
    </w:p>
    <w:p>
      <w:pPr>
        <w:spacing w:after="120"/>
      </w:pPr>
      <w:r>
        <w:rPr>
          <w:sz w:val="18"/>
        </w:rPr>
        <w:t>R7  PeopleCert Service Request Management</w:t>
        <w:br/>
        <w:t>https://www.peoplecert.org/browse-certifications/it-governance-and-service-management/ITIL-1/itil4-practices-service-request-management-3690</w:t>
      </w:r>
    </w:p>
    <w:p>
      <w:pPr>
        <w:spacing w:after="120"/>
      </w:pPr>
      <w:r>
        <w:rPr>
          <w:sz w:val="18"/>
        </w:rPr>
        <w:t>R8  OWASP CSV injection</w:t>
        <w:br/>
        <w:t>https://community.owasp.org/attacks/CSV_Injection</w:t>
      </w:r>
    </w:p>
    <w:p>
      <w:pPr>
        <w:spacing w:after="120"/>
      </w:pPr>
      <w:r>
        <w:rPr>
          <w:sz w:val="18"/>
        </w:rPr>
        <w:t>R9  NIST SP 800 61 Revision 3</w:t>
        <w:br/>
        <w:t>https://csrc.nist.gov/pubs/sp/800/61/r3/final</w:t>
      </w:r>
    </w:p>
    <w:p>
      <w:pPr>
        <w:spacing w:after="120"/>
      </w:pPr>
      <w:r>
        <w:rPr>
          <w:sz w:val="18"/>
        </w:rPr>
        <w:t>R10  Radzen component source and MIT licence</w:t>
        <w:br/>
        <w:t>https://github.com/radzenhq/radzen-blazor</w:t>
      </w:r>
    </w:p>
    <w:p>
      <w:r>
        <w:t>All deployment, trusted-data placement, module capabilities and permission semantics are contained in this master. It does not certify implemented code or grant Microsoft permissions.</w:t>
      </w:r>
    </w:p>
    <w:p>
      <w:r>
        <w:rPr>
          <w:sz w:val="19"/>
        </w:rPr>
        <w:t>V6-S11 Microsoft Graph incident update: https://learn.microsoft.com/en-us/graph/api/security-incident-update?view=graph-rest-1.0</w:t>
        <w:br/>
        <w:t>The update surface is field-specific and does not make every readable provider state writable. Re-probe status writes and ownership in the exact integration configuration; retain unknown/read-only values.</w:t>
      </w:r>
    </w:p>
    <w:p>
      <w:r>
        <w:rPr>
          <w:sz w:val="19"/>
        </w:rPr>
        <w:t>V6-S12 Microsoft Cost Management analysis: https://learn.microsoft.com/en-us/azure/cost-management-billing/costs/cost-analysis-common-uses</w:t>
        <w:br/>
        <w:t>Keep actual/amortised costs, forecast scope, billing agreement and financial evidence distinct.</w:t>
      </w:r>
    </w:p>
    <w:p>
      <w:r>
        <w:rPr>
          <w:sz w:val="19"/>
        </w:rPr>
        <w:t>V6-S13 Defender for Cloud score models: https://learn.microsoft.com/en-us/azure/defender-for-cloud/secure-score-access-and-track</w:t>
        <w:br/>
        <w:t>Classic Azure-portal score and the newer Defender-portal risk-based cloud score are different models. Label model, scope, timestamp and denominator; never compare or average them as identical.</w:t>
      </w:r>
    </w:p>
    <w:p>
      <w:r>
        <w:rPr>
          <w:sz w:val="19"/>
        </w:rPr>
        <w:t>V6-S14 Microsoft Graph Secure Score: https://learn.microsoft.com/en-us/graph/api/security-list-securescores?view=graph-rest-1.0</w:t>
        <w:br/>
        <w:t>A separate Graph score surface exists; it is not a universal API for every Microsoft product score.</w:t>
      </w:r>
    </w:p>
    <w:p>
      <w:bookmarkStart w:id="78" w:name="orca_ch_078"/>
      <w:pPr>
        <w:pStyle w:val="Heading1"/>
        <w:pageBreakBefore/>
      </w:pPr>
      <w:r>
        <w:t>Tenant engine settings and access aware navigation</w:t>
      </w:r>
      <w:bookmarkEnd w:id="78"/>
    </w:p>
    <w:p>
      <w:r>
        <w:t>Requirements update dated 1 November 2026. This section applies across the master specification, developer answers, File Store and mailbox requirements, and ITSM addendum. It takes precedence over conflicting engine configuration or navigation wording. Existing storage ownership, theme, file-access and permission decisions remain applicable. These are delivery requirements, not a statement that code or tests are complete.</w:t>
      </w:r>
    </w:p>
    <w:p>
      <w:pPr>
        <w:pStyle w:val="Heading2"/>
      </w:pPr>
      <w:r>
        <w:t>Required engine register</w:t>
      </w:r>
    </w:p>
    <w:p>
      <w:r>
        <w:t>The required product scope is M01 to M23 below. All 23 engines must be listed in the canonical engine registry and in Tenant Administration &gt; Engine Settings. Product scope does not mean every tenant must activate every engine. Installation, tenant entitlement, configured enablement and runtime health are separate states. Counts and names must come from this registry rather than hard-coded menu text.</w:t>
      </w:r>
    </w:p>
    <w:p>
      <w:r>
        <w:t>Each engine has its own settings section with its ID, name, purpose, dependencies, availability, configured On or Off value, effective state and authorised configuration. M01 and M02 are mandatory foundation engines: show them as On with a locked control and an explanation while the tenant is active. Their safeguards cannot be disabled to bypass access control. Use the existing tenant lifecycle to suspend the whole tenant. Every optional engine has an independent tenant On or Off control subject to dependencies.</w:t>
      </w:r>
    </w:p>
    <w:p>
      <w:pPr>
        <w:keepNext/>
      </w:pPr>
      <w:r>
        <w:rPr>
          <w:b/>
        </w:rPr>
        <w:t>M01 Platform and tenant engine</w:t>
      </w:r>
    </w:p>
    <w:p>
      <w:r>
        <w:t>Tenant registry, lifecycle and module controls; host, store and recovery health. Foundation safeguards remain enforced when business engines are off.</w:t>
      </w:r>
    </w:p>
    <w:p>
      <w:pPr>
        <w:keepNext/>
      </w:pPr>
      <w:r>
        <w:rPr>
          <w:b/>
        </w:rPr>
        <w:t>M02 UAM permission matrix engine</w:t>
      </w:r>
    </w:p>
    <w:p>
      <w:r>
        <w:t>Role ceilings, matrix versions, scoped grants and denies, tenant overrides, access reviews and revocation. Authorisation remains mandatory for every enabled capability.</w:t>
      </w:r>
    </w:p>
    <w:p>
      <w:pPr>
        <w:keepNext/>
      </w:pPr>
      <w:r>
        <w:rPr>
          <w:b/>
        </w:rPr>
        <w:t>M03 File Store engine</w:t>
      </w:r>
    </w:p>
    <w:p>
      <w:r>
        <w:t>Allowed types and sizes, retention and holds, scan and quarantine status, evidence custody, preview and indexing. Eligible ordinary downloads follow file-read access; no separate download approval.</w:t>
      </w:r>
    </w:p>
    <w:p>
      <w:pPr>
        <w:keepNext/>
      </w:pPr>
      <w:r>
        <w:rPr>
          <w:b/>
        </w:rPr>
        <w:t>M04 Unified security incidents engine</w:t>
      </w:r>
    </w:p>
    <w:p>
      <w:r>
        <w:t>Manual intake and enabled sources, priorities, workflow, classifications, ownership, incident visibility and retention. Keep security incidents distinct from M21 technical incidents.</w:t>
      </w:r>
    </w:p>
    <w:p>
      <w:pPr>
        <w:keepNext/>
      </w:pPr>
      <w:r>
        <w:rPr>
          <w:b/>
        </w:rPr>
        <w:t>M05 Sentinel integration engine</w:t>
      </w:r>
    </w:p>
    <w:p>
      <w:r>
        <w:t>Approved directory, subscriptions and workspaces, Read consent, sync schedule, mappings, checkpoints and connector health; response capability separately gated.</w:t>
      </w:r>
    </w:p>
    <w:p>
      <w:pPr>
        <w:keepNext/>
      </w:pPr>
      <w:r>
        <w:rPr>
          <w:b/>
        </w:rPr>
        <w:t>M06 Defender integration engine</w:t>
      </w:r>
    </w:p>
    <w:p>
      <w:r>
        <w:t>Approved Defender products and scopes, Read consent, sync cadence, evidence mappings and health; each supported response action requires separate authority.</w:t>
      </w:r>
    </w:p>
    <w:p>
      <w:pPr>
        <w:keepNext/>
      </w:pPr>
      <w:r>
        <w:rPr>
          <w:b/>
        </w:rPr>
        <w:t>M07 Agentless assets engine</w:t>
      </w:r>
    </w:p>
    <w:p>
      <w:r>
        <w:t>Inventory contributors, refresh schedules, reconciliation keys, ownership, criticality and freshness thresholds. No new endpoint agent is required.</w:t>
      </w:r>
    </w:p>
    <w:p>
      <w:pPr>
        <w:keepNext/>
      </w:pPr>
      <w:r>
        <w:rPr>
          <w:b/>
        </w:rPr>
        <w:t>M08 ATTACK and controls engine</w:t>
      </w:r>
    </w:p>
    <w:p>
      <w:r>
        <w:t>Approved taxonomy versions, import and update policy, control mappings and coverage definitions; record source and version.</w:t>
      </w:r>
    </w:p>
    <w:p>
      <w:pPr>
        <w:keepNext/>
      </w:pPr>
      <w:r>
        <w:rPr>
          <w:b/>
        </w:rPr>
        <w:t>M09 Teams shifts and routing engine</w:t>
      </w:r>
    </w:p>
    <w:p>
      <w:r>
        <w:t>Eligible teams and skills, calendars, time zones, capacity, primary and backup rules, escalation and assignment leases; assignment never grants access.</w:t>
      </w:r>
    </w:p>
    <w:p>
      <w:pPr>
        <w:keepNext/>
      </w:pPr>
      <w:r>
        <w:rPr>
          <w:b/>
        </w:rPr>
        <w:t>M10 AI and chat engine</w:t>
      </w:r>
    </w:p>
    <w:p>
      <w:r>
        <w:t>Provider and model routes, LocalOnly and cloud policy, library retrieval, separately enabled web research, sensitivity restrictions, retention and evaluation policy. M11 reservation is mandatory for every AI call.</w:t>
      </w:r>
    </w:p>
    <w:p>
      <w:pPr>
        <w:keepNext/>
      </w:pPr>
      <w:r>
        <w:rPr>
          <w:b/>
        </w:rPr>
        <w:t>M11 AI budgets engine</w:t>
      </w:r>
    </w:p>
    <w:p>
      <w:r>
        <w:t>Tenant, primary charge-group, user and service limits, reset periods, model pricing, reservations, hard stops and usage alerts; preserve historical usage.</w:t>
      </w:r>
    </w:p>
    <w:p>
      <w:pPr>
        <w:keepNext/>
      </w:pPr>
      <w:r>
        <w:rPr>
          <w:b/>
        </w:rPr>
        <w:t>M12 Response orchestration engine</w:t>
      </w:r>
    </w:p>
    <w:p>
      <w:r>
        <w:t>Approved adapters and playbooks, risk tiers, independent approvals, execution scope, maintenance windows, kill switches, verification and optional mandatory Change gates.</w:t>
      </w:r>
    </w:p>
    <w:p>
      <w:pPr>
        <w:keepNext/>
      </w:pPr>
      <w:r>
        <w:rPr>
          <w:b/>
        </w:rPr>
        <w:t>M13 Change Requests engine</w:t>
      </w:r>
    </w:p>
    <w:p>
      <w:r>
        <w:t>Change types, risk and approval policies, calendars, conflicts, execution evidence, rollback and post-implementation review.</w:t>
      </w:r>
    </w:p>
    <w:p>
      <w:pPr>
        <w:keepNext/>
      </w:pPr>
      <w:r>
        <w:rPr>
          <w:b/>
        </w:rPr>
        <w:t>M14 Problem Management engine</w:t>
      </w:r>
    </w:p>
    <w:p>
      <w:r>
        <w:t>Investigation workflow, known errors, workarounds, root cause, ownership and related incident or change links.</w:t>
      </w:r>
    </w:p>
    <w:p>
      <w:pPr>
        <w:keepNext/>
      </w:pPr>
      <w:r>
        <w:rPr>
          <w:b/>
        </w:rPr>
        <w:t>M15 Reporting and attack metrics engine</w:t>
      </w:r>
    </w:p>
    <w:p>
      <w:r>
        <w:t>Enabled contributor facts, dashboard scope, metric definitions, refresh and retention, permitted exports and explicit cross-tenant opt-in. Missing feeds display unavailable or stale, never healthy zeroes.</w:t>
      </w:r>
    </w:p>
    <w:p>
      <w:pPr>
        <w:keepNext/>
      </w:pPr>
      <w:r>
        <w:rPr>
          <w:b/>
        </w:rPr>
        <w:t>M16 Integration extensions and notifications engine</w:t>
      </w:r>
    </w:p>
    <w:p>
      <w:r>
        <w:t>Enabled adapters, channel consent, templates, recipient scopes, delivery retries, acknowledgements and escalation. Enable individual connectors separately.</w:t>
      </w:r>
    </w:p>
    <w:p>
      <w:pPr>
        <w:keepNext/>
      </w:pPr>
      <w:r>
        <w:rPr>
          <w:b/>
        </w:rPr>
        <w:t>M17 Azure cost and resource optimisation engine</w:t>
      </w:r>
    </w:p>
    <w:p>
      <w:r>
        <w:t>Subscriptions, cost and utilisation sources, rate assumptions, budgets, thresholds, exclusions, recommendations and verified savings. Start read-only; purchasing and resource changes require separate approved execution.</w:t>
      </w:r>
    </w:p>
    <w:p>
      <w:pPr>
        <w:keepNext/>
      </w:pPr>
      <w:r>
        <w:rPr>
          <w:b/>
        </w:rPr>
        <w:t>M18 Entra and Microsoft 365 governance and licences engine</w:t>
      </w:r>
    </w:p>
    <w:p>
      <w:r>
        <w:t>Directory and workload scopes, licence inventory, activity windows, inactivity thresholds, leave and service-account exceptions, privacy and reporting. Licence removal and identity changes require separate authority.</w:t>
      </w:r>
    </w:p>
    <w:p>
      <w:pPr>
        <w:keepNext/>
      </w:pPr>
      <w:r>
        <w:rPr>
          <w:b/>
        </w:rPr>
        <w:t>M19 Azure DevOps efficiency and governance engine</w:t>
      </w:r>
    </w:p>
    <w:p>
      <w:r>
        <w:t>Organisations and projects, source scopes, refresh, entitlement and consumption thresholds, governance checks and recommendation exceptions.</w:t>
      </w:r>
    </w:p>
    <w:p>
      <w:pPr>
        <w:keepNext/>
      </w:pPr>
      <w:r>
        <w:rPr>
          <w:b/>
        </w:rPr>
        <w:t>M20 Microsoft posture scores and recommendations engine</w:t>
      </w:r>
    </w:p>
    <w:p>
      <w:r>
        <w:t>Supported source products and scopes, score model, refresh, control profiles, exclusions and recommendation ownership. Preserve native score definitions and source freshness.</w:t>
      </w:r>
    </w:p>
    <w:p>
      <w:pPr>
        <w:keepNext/>
      </w:pPr>
      <w:r>
        <w:rPr>
          <w:b/>
        </w:rPr>
        <w:t>M21 ITSM incidents and service requests engine</w:t>
      </w:r>
    </w:p>
    <w:p>
      <w:r>
        <w:t>Ticket types, groups, workflow, priority, SLA and OLA calendars, request catalogue, tasks, approvals, major incidents, knowledge and public/private conversation rules.</w:t>
      </w:r>
    </w:p>
    <w:p>
      <w:pPr>
        <w:keepNext/>
      </w:pPr>
      <w:r>
        <w:rPr>
          <w:b/>
        </w:rPr>
        <w:t>M22 Mailbox to ticket connectors engine</w:t>
      </w:r>
    </w:p>
    <w:p>
      <w:r>
        <w:t>Approved mailboxes and folders, read-only consent, deterministic rules, dry-run, schedules, delta checkpoints, threading, duplicate controls, replay and health. Outbound sending is separately enabled and authorised.</w:t>
      </w:r>
    </w:p>
    <w:p>
      <w:pPr>
        <w:keepNext/>
      </w:pPr>
      <w:r>
        <w:rPr>
          <w:b/>
        </w:rPr>
        <w:t>M23 Requester portal engine</w:t>
      </w:r>
    </w:p>
    <w:p>
      <w:r>
        <w:t>Portal entry, eligible requester audience, own-ticket access, published catalogue and knowledge, public replies, approvals and resolution. On-behalf submission and department viewing remain optional, explicitly scoped and off by default.</w:t>
      </w:r>
    </w:p>
    <w:p>
      <w:pPr>
        <w:pStyle w:val="Heading2"/>
      </w:pPr>
      <w:r>
        <w:t>Common settings for every engine</w:t>
      </w:r>
    </w:p>
    <w:p>
      <w:r>
        <w:t>Provide a summary and a dedicated settings section for each registered engine, including engines currently off or unavailable, to users authorised to administer the module catalogue. Ordinary users receive no inaccessible engine navigation. Show availability and licence or entitlement limitations without exposing tenant content. Configuration remains subject to its own granular permission; module.manage alone does not grant connector-secret access or content access.</w:t>
      </w:r>
    </w:p>
    <w:p>
      <w:r>
        <w:t>Common fields are enabled state, effective state and reason, installed version, required and optional dependencies, configuration validity, scope, last successful run, next run where applicable, health, failure reason, configuration revision and last changed actor/time. Engine-specific fields are listed in the register. Schedule, retry and concurrency fields appear only for engines that run jobs. Separate read and execution capabilities and retain engine-specific safe defaults.</w:t>
      </w:r>
    </w:p>
    <w:p>
      <w:r>
        <w:t>Store engine state and trusted configuration in operator-held tenant authority; keep secret values in Key Vault and expose only references and masked status. Validate tenant binding, endpoints, scope and consent before activation. Saving settings for an off engine must not start it. Do not copy secret values between tenants. Reset or removal of configuration is a separate explicit operation from turning the engine off.</w:t>
      </w:r>
    </w:p>
    <w:p>
      <w:pPr>
        <w:pStyle w:val="Heading2"/>
      </w:pPr>
      <w:r>
        <w:t>Enablement dependencies and safe changes</w:t>
      </w:r>
    </w:p>
    <w:p>
      <w:r>
        <w:t>Use the master module dependency register and registered disable policy as the single authority. Validate the dependency graph on the server for every change, including direct API calls. Enabling an engine requires compatible installed dependencies, entitlement, valid settings and the required consent. Show unmet requirements and leave it off when validation fails; never enable another engine silently.</w:t>
      </w:r>
    </w:p>
    <w:p>
      <w:r>
        <w:t>Block disabling a required dependency while an enabled engine depends on it. Show the affected engines and require an explicit reviewed change that disables dependants in the correct order. An absent optional dependency disables only its related capability. Examples: M10 requires M11; M22 and M23 require M21; M05 and M06 require M04; M03 basic file functions work without AI. M22 attachment handling requires M03. A required Change approval gate must block execution if M13 is unavailable.</w:t>
      </w:r>
    </w:p>
    <w:p>
      <w:r>
        <w:t>Persist changes with a revision check and audit the tenant, engine, actor, time, reason, old and new values and result without secrets. Propagate configuration invalidation across replicas and Blazor circuits. Recheck effective enablement at every command, query, job start, retry and external dispatch. A stale browser or queued job cannot bypass Off. Align implementation contracts with the foundation integration process; this update does not assert an existing F5 implementation.</w:t>
      </w:r>
    </w:p>
    <w:p>
      <w:r>
        <w:t>Off stops new engine operations, schedules, ingestion, retries and outbound work for that tenant, and hides its normal navigation. Running work must stop or drain at registered safe checkpoints; preserve receipts and reconcile any provider request already accepted. Display Off pending stop until the stop is effective. Do not claim an accepted external action was cancelled. Tenant A changes cannot stop tenant B workers or a shared physical service needed by another tenant.</w:t>
      </w:r>
    </w:p>
    <w:p>
      <w:r>
        <w:t>Turning an engine off retains its settings, committed records, source checkpoints, audit and usage history under existing retention and hold policies. Required security, custody, retention and recovery safeguards continue. Do not expose disabled-engine content through search, reports or exports as an alternative access path. Separately authorised administrative audit, recovery and offboarding remain governed by their existing contracts. Re-enable through validation and safe checkpoint reconciliation; catch-up and replay must be idempotent and bounded, with review for missed actions or expired approvals.</w:t>
      </w:r>
    </w:p>
    <w:p>
      <w:r>
        <w:t>Show configured state separately from health: an enabled engine may be Not configured, Starting, Healthy, Degraded or Unavailable; an engine may also be Off or Stopping. A service outage is not a user-requested Off setting and must not erase it. Reports must identify unavailable contributors and last-known freshness without disclosing records from disabled modules.</w:t>
      </w:r>
    </w:p>
    <w:p>
      <w:pPr>
        <w:pStyle w:val="Heading2"/>
      </w:pPr>
      <w:r>
        <w:t>Sidebar and page access</w:t>
      </w:r>
    </w:p>
    <w:p>
      <w:r>
        <w:t>A menu item is visible only when the user has current tenant membership and scope, the tenant lifecycle allows the operation, the owning engine and required capability are effectively enabled, and the UAM matrix grants the page entry permission within the role ceiling. Apply existing deny semantics and resource restrictions. Absence of a grant means hidden. A role name, operator status or engine enablement alone does not grant access.</w:t>
      </w:r>
    </w:p>
    <w:p>
      <w:r>
        <w:t>Remove inaccessible menu items completely rather than rendering disabled or grey entries. Remove parent groups with no visible children, along with their icons, separators, badges and counts. Hide restricted tabs, shortcuts, command-palette entries and dashboard links as well. On a combined page, show only authorised sections and actions; permission to read a page does not grant create, configure, approve, export or execute rights.</w:t>
      </w:r>
    </w:p>
    <w:p>
      <w:r>
        <w:t>Use the canonical entry permission for each route. For example, ITSM SLA, catalogue, knowledge and reporting use itsm.sla.read, itsm.catalogue.read, itsm.knowledge.read and itsm.report.read respectively; Self-service requires requester.portal.enter and M23. On-behalf and department features also require their tenant setting and granular scoped permission. Do not use itsm.ticket.read as a blanket grant for all ITSM pages.</w:t>
      </w:r>
    </w:p>
    <w:p>
      <w:r>
        <w:t>Rebuild navigation after sign-in, tenant switch, role or permission revision, engine changes, revocation and circuit reconnect. Clear old tenant state and counts before showing the new tenant. If the current page becomes inaccessible, stop pending work, clear restricted data and move to an authorised landing page or a neutral no-access view. Check each tenant independently in any cross-tenant view.</w:t>
      </w:r>
    </w:p>
    <w:p>
      <w:r>
        <w:t>Enforce the same rules server-side in routes, application handlers, APIs, queries, search, exports and background jobs. Direct links and forged requests must be denied without restricted data. Do not send unauthorised records or navigation metadata to the browser and merely hide them with CSS. Apply identical visibility and accessible focus behaviour in Software-based Orca light and dark themes and responsive menus.</w:t>
      </w:r>
    </w:p>
    <w:p>
      <w:pPr>
        <w:pStyle w:val="Heading2"/>
      </w:pPr>
      <w:r>
        <w:t>Acceptance and delivery checks</w:t>
      </w:r>
    </w:p>
    <w:p>
      <w:r>
        <w:rPr>
          <w:b/>
        </w:rPr>
        <w:t xml:space="preserve">ENGNAV 01  </w:t>
      </w:r>
      <w:r>
        <w:t>Registry lists exactly M01 to M23 and every engine has its own authorised tenant settings section, common state fields and relevant engine-specific controls.</w:t>
      </w:r>
    </w:p>
    <w:p>
      <w:r>
        <w:rPr>
          <w:b/>
        </w:rPr>
        <w:t xml:space="preserve">ENGNAV 02  </w:t>
      </w:r>
      <w:r>
        <w:t>An authorised administrator can independently enable or disable an optional engine for tenant A; tenant B state, jobs and navigation remain unchanged. Unauthorised changes are denied and audited.</w:t>
      </w:r>
    </w:p>
    <w:p>
      <w:r>
        <w:rPr>
          <w:b/>
        </w:rPr>
        <w:t xml:space="preserve">ENGNAV 03  </w:t>
      </w:r>
      <w:r>
        <w:t>Missing consent, invalid configuration, unavailable entitlement, incompatible versions and unmet required dependencies prevent activation. Active dependants prevent unsafe disablement. M01 and M02 cannot be turned off while the tenant is active.</w:t>
      </w:r>
    </w:p>
    <w:p>
      <w:r>
        <w:rPr>
          <w:b/>
        </w:rPr>
        <w:t xml:space="preserve">ENGNAV 04  </w:t>
      </w:r>
      <w:r>
        <w:t>Off prevents new UI/API work, scheduled work, queued retries and outbound dispatch. Exercise a race with an in-flight call and verify stop/drain status, preserved receipt and reconciled outcome.</w:t>
      </w:r>
    </w:p>
    <w:p>
      <w:r>
        <w:rPr>
          <w:b/>
        </w:rPr>
        <w:t xml:space="preserve">ENGNAV 05  </w:t>
      </w:r>
      <w:r>
        <w:t>Settings, records and checkpoints survive Off and On. Re-enable does not duplicate tickets, ingestion, notifications or execution. Expired approvals do not replay.</w:t>
      </w:r>
    </w:p>
    <w:p>
      <w:r>
        <w:rPr>
          <w:b/>
        </w:rPr>
        <w:t xml:space="preserve">ENGNAV 06  </w:t>
      </w:r>
      <w:r>
        <w:t>For each menu entry test allowed, denied, missing grant, engine Off and wrong-tenant cases. Verify hidden items, empty groups, tabs, badges and shortcuts in both themes and responsive navigation.</w:t>
      </w:r>
    </w:p>
    <w:p>
      <w:r>
        <w:rPr>
          <w:b/>
        </w:rPr>
        <w:t xml:space="preserve">ENGNAV 07  </w:t>
      </w:r>
      <w:r>
        <w:t>Direct URL, API, search and export attempts cannot access a hidden or disabled capability. Test resource and subject denies and operator versus requester scope.</w:t>
      </w:r>
    </w:p>
    <w:p>
      <w:r>
        <w:rPr>
          <w:b/>
        </w:rPr>
        <w:t xml:space="preserve">ENGNAV 08  </w:t>
      </w:r>
      <w:r>
        <w:t>Tenant switch, permission revoke, engine change, reconnect and multiple replicas invalidate stale menus and data; an open restricted page is cleared safely.</w:t>
      </w:r>
    </w:p>
    <w:p>
      <w:r>
        <w:rPr>
          <w:b/>
        </w:rPr>
        <w:t xml:space="preserve">ENGNAV 09  </w:t>
      </w:r>
      <w:r>
        <w:t>M03 works without M10/M11; M10 cannot bypass M11; M22/M23 obey M21 dependency; optional requester extensions remain off and hidden until separately enabled and granted.</w:t>
      </w:r>
    </w:p>
    <w:p>
      <w:r>
        <w:rPr>
          <w:b/>
        </w:rPr>
        <w:t xml:space="preserve">ENGNAV 10  </w:t>
      </w:r>
      <w:r>
        <w:t>Configuration revision conflicts are rejected; audited settings changes contain no secrets. Unavailable source status and absent contributor data are not presented as healthy zeroes.</w:t>
      </w:r>
    </w:p>
    <w:p>
      <w:r>
        <w:t>M01 owns the module registry, tenant settings shell, state transitions and configuration invalidation. M02 owns permission decisions and scoped navigation projection. Each engine owner supplies its schema, dependency and disable policy, entry-permission mapping, health and job gates. Apply these requirements to the master work packages and release traceability; each engine release must pass applicable ENGNAV checks and R12 must cover the full register. No additional engine is introduced by this update.</w:t>
      </w:r>
    </w:p>
    <w:p>
      <w:bookmarkStart w:id="79" w:name="orca_ch_079"/>
      <w:pPr>
        <w:pStyle w:val="IntroTenant_Heading1"/>
      </w:pPr>
      <w:r>
        <w:t>Tenant engine administration and navigation implementation</w:t>
      </w:r>
      <w:bookmarkEnd w:id="79"/>
    </w:p>
    <w:p>
      <w:r>
        <w:t>This part is the integrated implementation contract for tenant controls across M01–M23 plus Phase 1 M24. Engine-specific fields are placed in their owning engine chapters above. Normative product requirements remain separate from proposed DTOs, keys, numerical limits and foundation signatures, which must be reconciled in the implementation integration lane.</w:t>
      </w:r>
    </w:p>
    <w:p>
      <w:bookmarkStart w:id="80" w:name="orca_ch_080"/>
      <w:pPr>
        <w:pStyle w:val="Tenant_Heading1"/>
      </w:pPr>
      <w:r>
        <w:t>Architecture and component ownership</w:t>
      </w:r>
      <w:bookmarkEnd w:id="80"/>
    </w:p>
    <w:p>
      <w:r>
        <w:t>Use the existing single Blazor Server application with engine folders and internal ports. Do not add hot-loaded plugins or a microservice per engine. The Reader hosts UI, read adapters and registered scheduled work; the Executor holds response authority. The baseline initial transport is a durable Mongo outbox with Reader jobs, not a newly introduced Service Bus dependency. Exact F5 topology remains subject to its existing structural review.</w:t>
      </w:r>
    </w:p>
    <w:tbl>
      <w:tblPr>
        <w:tblStyle w:val="Tenant_LightShading-Accent1"/>
        <w:tblW w:type="auto" w:w="0"/>
        <w:tblLayout w:type="fixed"/>
        <w:tblLook w:firstColumn="1" w:firstRow="1" w:lastColumn="0" w:lastRow="0" w:noHBand="0" w:noVBand="1" w:val="04A0"/>
      </w:tblPr>
      <w:tblGrid>
        <w:gridCol w:w="2304"/>
        <w:gridCol w:w="7560"/>
      </w:tblGrid>
      <w:tr>
        <w:trPr>
          <w:tblHeader/>
        </w:trPr>
        <w:tc>
          <w:tcPr>
            <w:tcW w:type="dxa" w:w="2304"/>
          </w:tcPr>
          <w:p>
            <w:r>
              <w:t>Owner</w:t>
            </w:r>
          </w:p>
        </w:tc>
        <w:tc>
          <w:tcPr>
            <w:tcW w:type="dxa" w:w="7560"/>
          </w:tcPr>
          <w:p>
            <w:r>
              <w:t>Responsibility and boundary</w:t>
            </w:r>
          </w:p>
        </w:tc>
      </w:tr>
      <w:tr>
        <w:trPr>
          <w:cantSplit/>
        </w:trPr>
        <w:tc>
          <w:tcPr>
            <w:tcW w:type="dxa" w:w="2304"/>
          </w:tcPr>
          <w:p>
            <w:pPr>
              <w:spacing w:after="60" w:before="40" w:line="240" w:lineRule="auto"/>
            </w:pPr>
            <w:r>
              <w:rPr>
                <w:sz w:val="18"/>
              </w:rPr>
              <w:t>M01 settings coordinator</w:t>
            </w:r>
          </w:p>
        </w:tc>
        <w:tc>
          <w:tcPr>
            <w:tcW w:type="dxa" w:w="7560"/>
          </w:tcPr>
          <w:p>
            <w:pPr>
              <w:spacing w:after="60" w:before="40" w:line="240" w:lineRule="auto"/>
            </w:pPr>
            <w:r>
              <w:rPr>
                <w:sz w:val="18"/>
              </w:rPr>
              <w:t>Registry, schema discovery, tenant generation, validated plans, revision-controlled commits, operation tracking, lifecycle constraints and engine invalidation events.</w:t>
            </w:r>
          </w:p>
        </w:tc>
      </w:tr>
      <w:tr>
        <w:trPr>
          <w:cantSplit/>
        </w:trPr>
        <w:tc>
          <w:tcPr>
            <w:tcW w:type="dxa" w:w="2304"/>
          </w:tcPr>
          <w:p>
            <w:pPr>
              <w:spacing w:after="60" w:before="40" w:line="240" w:lineRule="auto"/>
            </w:pPr>
            <w:r>
              <w:rPr>
                <w:sz w:val="18"/>
              </w:rPr>
              <w:t>M02 Permission Manager</w:t>
            </w:r>
          </w:p>
        </w:tc>
        <w:tc>
          <w:tcPr>
            <w:tcW w:type="dxa" w:w="7560"/>
          </w:tcPr>
          <w:p>
            <w:pPr>
              <w:spacing w:after="60" w:before="40" w:line="240" w:lineRule="auto"/>
            </w:pPr>
            <w:r>
              <w:rPr>
                <w:sz w:val="18"/>
              </w:rPr>
              <w:t>Role ceiling, scoped rules, subject denies, role-scoped contributions and navigation projection. Reuse the adapted local Permission Manager; no external UAM service.</w:t>
            </w:r>
          </w:p>
        </w:tc>
      </w:tr>
      <w:tr>
        <w:trPr>
          <w:cantSplit/>
        </w:trPr>
        <w:tc>
          <w:tcPr>
            <w:tcW w:type="dxa" w:w="2304"/>
          </w:tcPr>
          <w:p>
            <w:pPr>
              <w:spacing w:after="60" w:before="40" w:line="240" w:lineRule="auto"/>
            </w:pPr>
            <w:r>
              <w:rPr>
                <w:sz w:val="18"/>
              </w:rPr>
              <w:t>Engine adapter</w:t>
            </w:r>
          </w:p>
        </w:tc>
        <w:tc>
          <w:tcPr>
            <w:tcW w:type="dxa" w:w="7560"/>
          </w:tcPr>
          <w:p>
            <w:pPr>
              <w:spacing w:after="60" w:before="40" w:line="240" w:lineRule="auto"/>
            </w:pPr>
            <w:r>
              <w:rPr>
                <w:sz w:val="18"/>
              </w:rPr>
              <w:t>Typed schema, setting validators, health/readiness checks, required/optional dependencies, capabilities, safe-stop behaviour and owned settings. It cannot mint tenant/principal authority.</w:t>
            </w:r>
          </w:p>
        </w:tc>
      </w:tr>
      <w:tr>
        <w:trPr>
          <w:cantSplit/>
        </w:trPr>
        <w:tc>
          <w:tcPr>
            <w:tcW w:type="dxa" w:w="2304"/>
          </w:tcPr>
          <w:p>
            <w:pPr>
              <w:spacing w:after="60" w:before="40" w:line="240" w:lineRule="auto"/>
            </w:pPr>
            <w:r>
              <w:rPr>
                <w:sz w:val="18"/>
              </w:rPr>
              <w:t>Reader job runner</w:t>
            </w:r>
          </w:p>
        </w:tc>
        <w:tc>
          <w:tcPr>
            <w:tcW w:type="dxa" w:w="7560"/>
          </w:tcPr>
          <w:p>
            <w:pPr>
              <w:spacing w:after="60" w:before="40" w:line="240" w:lineRule="auto"/>
            </w:pPr>
            <w:r>
              <w:rPr>
                <w:sz w:val="18"/>
              </w:rPr>
              <w:t>Authenticated requester/system job identities; per-tenant leases, cancellation/checkpoints, idempotent delivery and source read-back under approved identity.</w:t>
            </w:r>
          </w:p>
        </w:tc>
      </w:tr>
      <w:tr>
        <w:trPr>
          <w:cantSplit/>
        </w:trPr>
        <w:tc>
          <w:tcPr>
            <w:tcW w:type="dxa" w:w="2304"/>
          </w:tcPr>
          <w:p>
            <w:pPr>
              <w:spacing w:after="60" w:before="40" w:line="240" w:lineRule="auto"/>
            </w:pPr>
            <w:r>
              <w:rPr>
                <w:sz w:val="18"/>
              </w:rPr>
              <w:t>Executor</w:t>
            </w:r>
          </w:p>
        </w:tc>
        <w:tc>
          <w:tcPr>
            <w:tcW w:type="dxa" w:w="7560"/>
          </w:tcPr>
          <w:p>
            <w:pPr>
              <w:spacing w:after="60" w:before="40" w:line="240" w:lineRule="auto"/>
            </w:pPr>
            <w:r>
              <w:rPr>
                <w:sz w:val="18"/>
              </w:rPr>
              <w:t>Live response gates, command binding, single-use dispatch authority, receipt preservation and reconciliation. UI enablement is never execution approval.</w:t>
            </w:r>
          </w:p>
        </w:tc>
      </w:tr>
      <w:tr>
        <w:trPr>
          <w:cantSplit/>
        </w:trPr>
        <w:tc>
          <w:tcPr>
            <w:tcW w:type="dxa" w:w="2304"/>
          </w:tcPr>
          <w:p>
            <w:pPr>
              <w:spacing w:after="60" w:before="40" w:line="240" w:lineRule="auto"/>
            </w:pPr>
            <w:r>
              <w:rPr>
                <w:sz w:val="18"/>
              </w:rPr>
              <w:t>UI components</w:t>
            </w:r>
          </w:p>
        </w:tc>
        <w:tc>
          <w:tcPr>
            <w:tcW w:type="dxa" w:w="7560"/>
          </w:tcPr>
          <w:p>
            <w:pPr>
              <w:spacing w:after="60" w:before="40" w:line="240" w:lineRule="auto"/>
            </w:pPr>
            <w:r>
              <w:rPr>
                <w:sz w:val="18"/>
              </w:rPr>
              <w:t>Draft editing, field errors, server-generated review, operation progress, permission-aware links and removal of revoked content. No independent policy master.</w:t>
            </w:r>
          </w:p>
        </w:tc>
      </w:tr>
    </w:tbl>
    <w:p>
      <w:pPr>
        <w:pStyle w:val="Tenant_Heading2"/>
      </w:pPr>
      <w:r>
        <w:t>Proposed application ports</w:t>
      </w:r>
    </w:p>
    <w:p>
      <w:pPr>
        <w:spacing w:after="140"/>
      </w:pPr>
      <w:r>
        <w:rPr>
          <w:rFonts w:ascii="Consolas" w:hAnsi="Consolas"/>
          <w:sz w:val="16"/>
        </w:rPr>
        <w:t>IEngineRegistry.GetDescriptors(hostVersion)</w:t>
        <w:br/>
        <w:t>IEngineSettingsSchema.GetSchema(engineId, schemaVersion)</w:t>
        <w:br/>
        <w:t>ISettingsValidator.Validate(trustedContext, candidate)</w:t>
        <w:br/>
        <w:t>ITenantSettingsCoordinator.Plan / Apply / GetOperation</w:t>
        <w:br/>
        <w:t>IEngineRuntimeGate.Check(trustedContext, capability, action)</w:t>
        <w:br/>
        <w:t>INavigationProjection.Build(trustedContext)</w:t>
        <w:br/>
        <w:t>IEngineLifecycleParticipant.Start / CheckpointStop / Reconcile</w:t>
      </w:r>
    </w:p>
    <w:p>
      <w:r>
        <w:t>These names describe new responsibilities, not verified existing C# interfaces. Keep foundation-owned IRequestPrincipal, TenantContext and the single permission-gate decorator intact. Ports receive trusted context from the application boundary; they never accept a browser-supplied role list or alternate database binding as authority.</w:t>
      </w:r>
    </w:p>
    <w:p>
      <w:pPr>
        <w:pStyle w:val="Tenant_Heading2"/>
      </w:pPr>
      <w:r>
        <w:t>Control and business data paths</w:t>
      </w:r>
    </w:p>
    <w:p>
      <w:r>
        <w:t>Configuration edits write the operator-held tenant authority store. Customer operational/content stores hold committed business data under Q8; Blob holds evidence bytes and Qdrant holds replaceable retrieval indexes. A settings review or switch must not write customer business records merely to record enablement. If an operation changes both stores, reuse the existing Intent → customer proof → operator Outcome protocol. Separate-cluster writes cannot be made atomic by one Mongo transaction.</w:t>
      </w:r>
    </w:p>
    <w:p>
      <w:r>
        <w:br w:type="page"/>
      </w:r>
    </w:p>
    <w:p>
      <w:bookmarkStart w:id="81" w:name="orca_ch_081"/>
      <w:pPr>
        <w:pStyle w:val="Tenant_Heading1"/>
      </w:pPr>
      <w:r>
        <w:t>Engine registry and dependency semantics</w:t>
      </w:r>
      <w:bookmarkEnd w:id="81"/>
    </w:p>
    <w:p>
      <w:r>
        <w:rPr>
          <w:b/>
        </w:rPr>
        <w:t xml:space="preserve">REG 01  </w:t>
      </w:r>
      <w:r>
        <w:t>Every descriptor includes engineId, stable display name, purpose, installed version, compatible host/contracts, schema version, required engine IDs, optional integrations, conditional capability dependencies, lifecycle participant and route/capability mapping.</w:t>
      </w:r>
    </w:p>
    <w:p>
      <w:r>
        <w:rPr>
          <w:b/>
        </w:rPr>
        <w:t xml:space="preserve">REG 02  </w:t>
      </w:r>
      <w:r>
        <w:t>Register every collection once by owner and StoreKind. Treat new collection names below as proposals. Do not rename frozen F2 collections or change foundation prefixes globally.</w:t>
      </w:r>
    </w:p>
    <w:p>
      <w:r>
        <w:rPr>
          <w:b/>
        </w:rPr>
        <w:t xml:space="preserve">REG 03  </w:t>
      </w:r>
      <w:r>
        <w:t>Reject duplicate IDs, unknown dependency IDs, required cycles and schema incompatibility at build/startup. Freeze and hash the registry version; plans bind to that version.</w:t>
      </w:r>
    </w:p>
    <w:p>
      <w:r>
        <w:rPr>
          <w:b/>
        </w:rPr>
        <w:t xml:space="preserve">REG 04  </w:t>
      </w:r>
      <w:r>
        <w:t>Required edges constrain the enabled graph. Optional edges never enable another engine or disable unrelated core functions. Conditional edges constrain the selected capability, not the entire engine unless that capability is mandatory.</w:t>
      </w:r>
    </w:p>
    <w:p>
      <w:r>
        <w:rPr>
          <w:b/>
        </w:rPr>
        <w:t xml:space="preserve">REG 05  </w:t>
      </w:r>
      <w:r>
        <w:t>Evaluate dependencies over the complete post-change candidate. A multi-engine plan may explicitly enable prerequisites before dependants, or stop dependants before prerequisites. No automatic cascade or implicit scope expansion.</w:t>
      </w:r>
    </w:p>
    <w:p>
      <w:r>
        <w:rPr>
          <w:b/>
        </w:rPr>
        <w:t xml:space="preserve">REG 06  </w:t>
      </w:r>
      <w:r>
        <w:t>Required M01/M02 remain active. Use tenant lifecycle controls for whole-tenant suspension. Enabling an engine requires installation, entitlement, compatible dependencies, valid fields and the required scoped consent.</w:t>
      </w:r>
    </w:p>
    <w:tbl>
      <w:tblPr>
        <w:tblStyle w:val="Tenant_LightShading-Accent1"/>
        <w:tblW w:type="auto" w:w="0"/>
        <w:tblLayout w:type="fixed"/>
        <w:tblLook w:firstColumn="1" w:firstRow="1" w:lastColumn="0" w:lastRow="0" w:noHBand="0" w:noVBand="1" w:val="04A0"/>
      </w:tblPr>
      <w:tblGrid>
        <w:gridCol w:w="3311"/>
        <w:gridCol w:w="6552"/>
      </w:tblGrid>
      <w:tr>
        <w:trPr>
          <w:tblHeader/>
        </w:trPr>
        <w:tc>
          <w:tcPr>
            <w:tcW w:type="dxa" w:w="3312"/>
          </w:tcPr>
          <w:p>
            <w:r>
              <w:t>Case</w:t>
            </w:r>
          </w:p>
        </w:tc>
        <w:tc>
          <w:tcPr>
            <w:tcW w:type="dxa" w:w="6552"/>
          </w:tcPr>
          <w:p>
            <w:r>
              <w:t>Required result</w:t>
            </w:r>
          </w:p>
        </w:tc>
      </w:tr>
      <w:tr>
        <w:trPr>
          <w:cantSplit/>
        </w:trPr>
        <w:tc>
          <w:tcPr>
            <w:tcW w:type="dxa" w:w="3312"/>
          </w:tcPr>
          <w:p>
            <w:pPr>
              <w:spacing w:after="60" w:before="40" w:line="240" w:lineRule="auto"/>
            </w:pPr>
            <w:r>
              <w:rPr>
                <w:sz w:val="18"/>
              </w:rPr>
              <w:t>M10 On, request M11 Off</w:t>
            </w:r>
          </w:p>
        </w:tc>
        <w:tc>
          <w:tcPr>
            <w:tcW w:type="dxa" w:w="6552"/>
          </w:tcPr>
          <w:p>
            <w:pPr>
              <w:spacing w:after="60" w:before="40" w:line="240" w:lineRule="auto"/>
            </w:pPr>
            <w:r>
              <w:rPr>
                <w:sz w:val="18"/>
              </w:rPr>
              <w:t>Block with M10 as an active dependant; allow only an explicit plan turning M10 Off first.</w:t>
            </w:r>
          </w:p>
        </w:tc>
      </w:tr>
      <w:tr>
        <w:trPr>
          <w:cantSplit/>
        </w:trPr>
        <w:tc>
          <w:tcPr>
            <w:tcW w:type="dxa" w:w="3312"/>
          </w:tcPr>
          <w:p>
            <w:pPr>
              <w:spacing w:after="60" w:before="40" w:line="240" w:lineRule="auto"/>
            </w:pPr>
            <w:r>
              <w:rPr>
                <w:sz w:val="18"/>
              </w:rPr>
              <w:t>M22/M23 On, request M21 Off</w:t>
            </w:r>
          </w:p>
        </w:tc>
        <w:tc>
          <w:tcPr>
            <w:tcW w:type="dxa" w:w="6552"/>
          </w:tcPr>
          <w:p>
            <w:pPr>
              <w:spacing w:after="60" w:before="40" w:line="240" w:lineRule="auto"/>
            </w:pPr>
            <w:r>
              <w:rPr>
                <w:sz w:val="18"/>
              </w:rPr>
              <w:t>Block; list both dependants where applicable.</w:t>
            </w:r>
          </w:p>
        </w:tc>
      </w:tr>
      <w:tr>
        <w:trPr>
          <w:cantSplit/>
        </w:trPr>
        <w:tc>
          <w:tcPr>
            <w:tcW w:type="dxa" w:w="3312"/>
          </w:tcPr>
          <w:p>
            <w:pPr>
              <w:spacing w:after="60" w:before="40" w:line="240" w:lineRule="auto"/>
            </w:pPr>
            <w:r>
              <w:rPr>
                <w:sz w:val="18"/>
              </w:rPr>
              <w:t>M03 On without M10/M11</w:t>
            </w:r>
          </w:p>
        </w:tc>
        <w:tc>
          <w:tcPr>
            <w:tcW w:type="dxa" w:w="6552"/>
          </w:tcPr>
          <w:p>
            <w:pPr>
              <w:spacing w:after="60" w:before="40" w:line="240" w:lineRule="auto"/>
            </w:pPr>
            <w:r>
              <w:rPr>
                <w:sz w:val="18"/>
              </w:rPr>
              <w:t>Basic metadata search, authorised preview/download remain usable. AI indexing unavailable.</w:t>
            </w:r>
          </w:p>
        </w:tc>
      </w:tr>
      <w:tr>
        <w:trPr>
          <w:cantSplit/>
        </w:trPr>
        <w:tc>
          <w:tcPr>
            <w:tcW w:type="dxa" w:w="3312"/>
          </w:tcPr>
          <w:p>
            <w:pPr>
              <w:spacing w:after="60" w:before="40" w:line="240" w:lineRule="auto"/>
            </w:pPr>
            <w:r>
              <w:rPr>
                <w:sz w:val="18"/>
              </w:rPr>
              <w:t>M22 handling attachments</w:t>
            </w:r>
          </w:p>
        </w:tc>
        <w:tc>
          <w:tcPr>
            <w:tcW w:type="dxa" w:w="6552"/>
          </w:tcPr>
          <w:p>
            <w:pPr>
              <w:spacing w:after="60" w:before="40" w:line="240" w:lineRule="auto"/>
            </w:pPr>
            <w:r>
              <w:rPr>
                <w:sz w:val="18"/>
              </w:rPr>
              <w:t>Require M03 and clean/eligible file processing. No dependency bypass through message body extraction.</w:t>
            </w:r>
          </w:p>
        </w:tc>
      </w:tr>
      <w:tr>
        <w:trPr>
          <w:cantSplit/>
        </w:trPr>
        <w:tc>
          <w:tcPr>
            <w:tcW w:type="dxa" w:w="3312"/>
          </w:tcPr>
          <w:p>
            <w:pPr>
              <w:spacing w:after="60" w:before="40" w:line="240" w:lineRule="auto"/>
            </w:pPr>
            <w:r>
              <w:rPr>
                <w:sz w:val="18"/>
              </w:rPr>
              <w:t>M12 policy mandates Change approval</w:t>
            </w:r>
          </w:p>
        </w:tc>
        <w:tc>
          <w:tcPr>
            <w:tcW w:type="dxa" w:w="6552"/>
          </w:tcPr>
          <w:p>
            <w:pPr>
              <w:spacing w:after="60" w:before="40" w:line="240" w:lineRule="auto"/>
            </w:pPr>
            <w:r>
              <w:rPr>
                <w:sz w:val="18"/>
              </w:rPr>
              <w:t>Require the applicable M13 capability and approved change; absence blocks that action.</w:t>
            </w:r>
          </w:p>
        </w:tc>
      </w:tr>
      <w:tr>
        <w:trPr>
          <w:cantSplit/>
        </w:trPr>
        <w:tc>
          <w:tcPr>
            <w:tcW w:type="dxa" w:w="3312"/>
          </w:tcPr>
          <w:p>
            <w:pPr>
              <w:spacing w:after="60" w:before="40" w:line="240" w:lineRule="auto"/>
            </w:pPr>
            <w:r>
              <w:rPr>
                <w:sz w:val="18"/>
              </w:rPr>
              <w:t>M07 without an inventory contributor</w:t>
            </w:r>
          </w:p>
        </w:tc>
        <w:tc>
          <w:tcPr>
            <w:tcW w:type="dxa" w:w="6552"/>
          </w:tcPr>
          <w:p>
            <w:pPr>
              <w:spacing w:after="60" w:before="40" w:line="240" w:lineRule="auto"/>
            </w:pPr>
            <w:r>
              <w:rPr>
                <w:sz w:val="18"/>
              </w:rPr>
              <w:t>Configuration not ready; show an actionable source-scope requirement.</w:t>
            </w:r>
          </w:p>
        </w:tc>
      </w:tr>
      <w:tr>
        <w:trPr>
          <w:cantSplit/>
        </w:trPr>
        <w:tc>
          <w:tcPr>
            <w:tcW w:type="dxa" w:w="3312"/>
          </w:tcPr>
          <w:p>
            <w:pPr>
              <w:spacing w:after="60" w:before="40" w:line="240" w:lineRule="auto"/>
            </w:pPr>
            <w:r>
              <w:rPr>
                <w:sz w:val="18"/>
              </w:rPr>
              <w:t>Shared provider / runtime process</w:t>
            </w:r>
          </w:p>
        </w:tc>
        <w:tc>
          <w:tcPr>
            <w:tcW w:type="dxa" w:w="6552"/>
          </w:tcPr>
          <w:p>
            <w:pPr>
              <w:spacing w:after="60" w:before="40" w:line="240" w:lineRule="auto"/>
            </w:pPr>
            <w:r>
              <w:rPr>
                <w:sz w:val="18"/>
              </w:rPr>
              <w:t>Tenant A Off affects A only; never stop the physical service while B still needs it.</w:t>
            </w:r>
          </w:p>
        </w:tc>
      </w:tr>
    </w:tbl>
    <w:p>
      <w:pPr>
        <w:pStyle w:val="Tenant_Heading2"/>
      </w:pPr>
      <w:r>
        <w:t>Dependency evaluator outline</w:t>
      </w:r>
    </w:p>
    <w:p>
      <w:pPr>
        <w:spacing w:after="140"/>
      </w:pPr>
      <w:r>
        <w:rPr>
          <w:rFonts w:ascii="Consolas" w:hAnsi="Consolas"/>
          <w:sz w:val="16"/>
        </w:rPr>
        <w:t>candidate = overlay(currentDesired, requestedChanges)</w:t>
        <w:br/>
        <w:t>assert foundations(candidate)</w:t>
        <w:br/>
        <w:t>assert registryIsCompatibleAndAcyclic()</w:t>
        <w:br/>
        <w:t>for engine where candidate.On:</w:t>
        <w:br/>
        <w:t xml:space="preserve">  require installed &amp;&amp; entitled &amp;&amp; schemaValid</w:t>
        <w:br/>
        <w:t xml:space="preserve">  require every required dependency candidate.On</w:t>
        <w:br/>
        <w:t xml:space="preserve">  require conditional edges for selected capabilities</w:t>
        <w:br/>
        <w:t>plan.startOrder = topologicalOrder(newlyOn)</w:t>
        <w:br/>
        <w:t>plan.stopOrder = reverseTopologicalOrder(newlyOff)</w:t>
      </w:r>
    </w:p>
    <w:p>
      <w:r>
        <w:t>Source consent and health are rechecked at execution. A validation response is not an enduring capability grant. Dependency evaluation returns IDs plus authorised human-readable labels and remediation; avoid exposing hidden customer records through diagnostics.</w:t>
      </w:r>
    </w:p>
    <w:p>
      <w:r>
        <w:br w:type="page"/>
      </w:r>
    </w:p>
    <w:p>
      <w:bookmarkStart w:id="82" w:name="orca_ch_082"/>
      <w:pPr>
        <w:pStyle w:val="Tenant_Heading1"/>
      </w:pPr>
      <w:r>
        <w:t>Desired runtime and health state machines</w:t>
      </w:r>
      <w:bookmarkEnd w:id="82"/>
    </w:p>
    <w:tbl>
      <w:tblPr>
        <w:tblStyle w:val="Tenant_LightShading-Accent1"/>
        <w:tblW w:type="auto" w:w="0"/>
        <w:tblLayout w:type="fixed"/>
        <w:tblLook w:firstColumn="1" w:firstRow="1" w:lastColumn="0" w:lastRow="0" w:noHBand="0" w:noVBand="1" w:val="04A0"/>
      </w:tblPr>
      <w:tblGrid>
        <w:gridCol w:w="1152"/>
        <w:gridCol w:w="1440"/>
        <w:gridCol w:w="7272"/>
      </w:tblGrid>
      <w:tr>
        <w:trPr>
          <w:tblHeader/>
        </w:trPr>
        <w:tc>
          <w:tcPr>
            <w:tcW w:type="dxa" w:w="1152"/>
          </w:tcPr>
          <w:p>
            <w:r>
              <w:t>Saved intent</w:t>
            </w:r>
          </w:p>
        </w:tc>
        <w:tc>
          <w:tcPr>
            <w:tcW w:type="dxa" w:w="1440"/>
          </w:tcPr>
          <w:p>
            <w:r>
              <w:t>Runtime state</w:t>
            </w:r>
          </w:p>
        </w:tc>
        <w:tc>
          <w:tcPr>
            <w:tcW w:type="dxa" w:w="7272"/>
          </w:tcPr>
          <w:p>
            <w:r>
              <w:t>Ordinary work and UI</w:t>
            </w:r>
          </w:p>
        </w:tc>
      </w:tr>
      <w:tr>
        <w:trPr>
          <w:cantSplit/>
        </w:trPr>
        <w:tc>
          <w:tcPr>
            <w:tcW w:type="dxa" w:w="1152"/>
          </w:tcPr>
          <w:p>
            <w:pPr>
              <w:spacing w:after="60" w:before="40" w:line="240" w:lineRule="auto"/>
            </w:pPr>
            <w:r>
              <w:rPr>
                <w:sz w:val="18"/>
              </w:rPr>
              <w:t>Off</w:t>
            </w:r>
          </w:p>
        </w:tc>
        <w:tc>
          <w:tcPr>
            <w:tcW w:type="dxa" w:w="1440"/>
          </w:tcPr>
          <w:p>
            <w:pPr>
              <w:spacing w:after="60" w:before="40" w:line="240" w:lineRule="auto"/>
            </w:pPr>
            <w:r>
              <w:rPr>
                <w:sz w:val="18"/>
              </w:rPr>
              <w:t>Off</w:t>
            </w:r>
          </w:p>
        </w:tc>
        <w:tc>
          <w:tcPr>
            <w:tcW w:type="dxa" w:w="7272"/>
          </w:tcPr>
          <w:p>
            <w:pPr>
              <w:spacing w:after="60" w:before="40" w:line="240" w:lineRule="auto"/>
            </w:pPr>
            <w:r>
              <w:rPr>
                <w:sz w:val="18"/>
              </w:rPr>
              <w:t>Denied. Workspace routes hidden. Authorised administration can inspect settings/status.</w:t>
            </w:r>
          </w:p>
        </w:tc>
      </w:tr>
      <w:tr>
        <w:trPr>
          <w:cantSplit/>
        </w:trPr>
        <w:tc>
          <w:tcPr>
            <w:tcW w:type="dxa" w:w="1152"/>
          </w:tcPr>
          <w:p>
            <w:pPr>
              <w:spacing w:after="60" w:before="40" w:line="240" w:lineRule="auto"/>
            </w:pPr>
            <w:r>
              <w:rPr>
                <w:sz w:val="18"/>
              </w:rPr>
              <w:t>Off</w:t>
            </w:r>
          </w:p>
        </w:tc>
        <w:tc>
          <w:tcPr>
            <w:tcW w:type="dxa" w:w="1440"/>
          </w:tcPr>
          <w:p>
            <w:pPr>
              <w:spacing w:after="60" w:before="40" w:line="240" w:lineRule="auto"/>
            </w:pPr>
            <w:r>
              <w:rPr>
                <w:sz w:val="18"/>
              </w:rPr>
              <w:t>Stopping</w:t>
            </w:r>
          </w:p>
        </w:tc>
        <w:tc>
          <w:tcPr>
            <w:tcW w:type="dxa" w:w="7272"/>
          </w:tcPr>
          <w:p>
            <w:pPr>
              <w:spacing w:after="60" w:before="40" w:line="240" w:lineRule="auto"/>
            </w:pPr>
            <w:r>
              <w:rPr>
                <w:sz w:val="18"/>
              </w:rPr>
              <w:t>New work denied immediately after commit; only registered bounded drain/reconciliation continues.</w:t>
            </w:r>
          </w:p>
        </w:tc>
      </w:tr>
      <w:tr>
        <w:trPr>
          <w:cantSplit/>
        </w:trPr>
        <w:tc>
          <w:tcPr>
            <w:tcW w:type="dxa" w:w="1152"/>
          </w:tcPr>
          <w:p>
            <w:pPr>
              <w:spacing w:after="60" w:before="40" w:line="240" w:lineRule="auto"/>
            </w:pPr>
            <w:r>
              <w:rPr>
                <w:sz w:val="18"/>
              </w:rPr>
              <w:t>On</w:t>
            </w:r>
          </w:p>
        </w:tc>
        <w:tc>
          <w:tcPr>
            <w:tcW w:type="dxa" w:w="1440"/>
          </w:tcPr>
          <w:p>
            <w:pPr>
              <w:spacing w:after="60" w:before="40" w:line="240" w:lineRule="auto"/>
            </w:pPr>
            <w:r>
              <w:rPr>
                <w:sz w:val="18"/>
              </w:rPr>
              <w:t>Starting</w:t>
            </w:r>
          </w:p>
        </w:tc>
        <w:tc>
          <w:tcPr>
            <w:tcW w:type="dxa" w:w="7272"/>
          </w:tcPr>
          <w:p>
            <w:pPr>
              <w:spacing w:after="60" w:before="40" w:line="240" w:lineRule="auto"/>
            </w:pPr>
            <w:r>
              <w:rPr>
                <w:sz w:val="18"/>
              </w:rPr>
              <w:t>Workspace functions requiring readiness denied; admin sees activation progress.</w:t>
            </w:r>
          </w:p>
        </w:tc>
      </w:tr>
      <w:tr>
        <w:trPr>
          <w:cantSplit/>
        </w:trPr>
        <w:tc>
          <w:tcPr>
            <w:tcW w:type="dxa" w:w="1152"/>
          </w:tcPr>
          <w:p>
            <w:pPr>
              <w:spacing w:after="60" w:before="40" w:line="240" w:lineRule="auto"/>
            </w:pPr>
            <w:r>
              <w:rPr>
                <w:sz w:val="18"/>
              </w:rPr>
              <w:t>On</w:t>
            </w:r>
          </w:p>
        </w:tc>
        <w:tc>
          <w:tcPr>
            <w:tcW w:type="dxa" w:w="1440"/>
          </w:tcPr>
          <w:p>
            <w:pPr>
              <w:spacing w:after="60" w:before="40" w:line="240" w:lineRule="auto"/>
            </w:pPr>
            <w:r>
              <w:rPr>
                <w:sz w:val="18"/>
              </w:rPr>
              <w:t>On</w:t>
            </w:r>
          </w:p>
        </w:tc>
        <w:tc>
          <w:tcPr>
            <w:tcW w:type="dxa" w:w="7272"/>
          </w:tcPr>
          <w:p>
            <w:pPr>
              <w:spacing w:after="60" w:before="40" w:line="240" w:lineRule="auto"/>
            </w:pPr>
            <w:r>
              <w:rPr>
                <w:sz w:val="18"/>
              </w:rPr>
              <w:t>Eligible for action-specific UAM, tenant lifecycle and capability gates. Health can still be degraded.</w:t>
            </w:r>
          </w:p>
        </w:tc>
      </w:tr>
      <w:tr>
        <w:trPr>
          <w:cantSplit/>
        </w:trPr>
        <w:tc>
          <w:tcPr>
            <w:tcW w:type="dxa" w:w="1152"/>
          </w:tcPr>
          <w:p>
            <w:pPr>
              <w:spacing w:after="60" w:before="40" w:line="240" w:lineRule="auto"/>
            </w:pPr>
            <w:r>
              <w:rPr>
                <w:sz w:val="18"/>
              </w:rPr>
              <w:t>On</w:t>
            </w:r>
          </w:p>
        </w:tc>
        <w:tc>
          <w:tcPr>
            <w:tcW w:type="dxa" w:w="1440"/>
          </w:tcPr>
          <w:p>
            <w:pPr>
              <w:spacing w:after="60" w:before="40" w:line="240" w:lineRule="auto"/>
            </w:pPr>
            <w:r>
              <w:rPr>
                <w:sz w:val="18"/>
              </w:rPr>
              <w:t>Blocked</w:t>
            </w:r>
          </w:p>
        </w:tc>
        <w:tc>
          <w:tcPr>
            <w:tcW w:type="dxa" w:w="7272"/>
          </w:tcPr>
          <w:p>
            <w:pPr>
              <w:spacing w:after="60" w:before="40" w:line="240" w:lineRule="auto"/>
            </w:pPr>
            <w:r>
              <w:rPr>
                <w:sz w:val="18"/>
              </w:rPr>
              <w:t>No ordinary execution. Retain desired On and explain configuration, entitlement, migration or dependency blocker.</w:t>
            </w:r>
          </w:p>
        </w:tc>
      </w:tr>
    </w:tbl>
    <w:p>
      <w:pPr>
        <w:pStyle w:val="Tenant_Heading2"/>
      </w:pPr>
      <w:r>
        <w:t>Allowed transitions</w:t>
      </w:r>
    </w:p>
    <w:p>
      <w:r>
        <w:rPr>
          <w:b/>
        </w:rPr>
        <w:t xml:space="preserve">STATE 01  </w:t>
      </w:r>
      <w:r>
        <w:t>Validated enable commit: desired Off → On, runtime Off → Starting. Participant readiness succeeds → On; readiness fails → Blocked with a safe reason and retry/review path.</w:t>
      </w:r>
    </w:p>
    <w:p>
      <w:r>
        <w:rPr>
          <w:b/>
        </w:rPr>
        <w:t xml:space="preserve">STATE 02  </w:t>
      </w:r>
      <w:r>
        <w:t>Disable commit: desired On → Off. Gate blocks new ordinary work at the committed generation. Runtime becomes Stopping until registered work reaches a safe boundary, then Off.</w:t>
      </w:r>
    </w:p>
    <w:p>
      <w:r>
        <w:rPr>
          <w:b/>
        </w:rPr>
        <w:t xml:space="preserve">STATE 03  </w:t>
      </w:r>
      <w:r>
        <w:t>Turning an already Off engine Off is an idempotent no-op. Saving settings while Off retains runtime Off and must not schedule/start the engine.</w:t>
      </w:r>
    </w:p>
    <w:p>
      <w:r>
        <w:rPr>
          <w:b/>
        </w:rPr>
        <w:t xml:space="preserve">STATE 04  </w:t>
      </w:r>
      <w:r>
        <w:t>Configuration change while On is classified by the engine: hot apply at an operation boundary, controlled restart, or explicit stop/reconfigure/start. Display impact in the plan. Do not restart a shared host silently.</w:t>
      </w:r>
    </w:p>
    <w:p>
      <w:r>
        <w:rPr>
          <w:b/>
        </w:rPr>
        <w:t xml:space="preserve">STATE 05  </w:t>
      </w:r>
      <w:r>
        <w:t>Entitlement loss or required runtime failure can set Blocked while desired remains On. A provider outage normally changes health, not administrator intent. Recovery must revalidate dependency/capability state.</w:t>
      </w:r>
    </w:p>
    <w:p>
      <w:r>
        <w:rPr>
          <w:b/>
        </w:rPr>
        <w:t xml:space="preserve">STATE 06  </w:t>
      </w:r>
      <w:r>
        <w:t>ReadOnly blocks ordinary mutations/response; Suspended blocks content/queued commands; Quarantined blocks affected store access. Recovery administration uses the existing separately authorised foundation path. Do not weaken the lifecycle to make a toggle work.</w:t>
      </w:r>
    </w:p>
    <w:p>
      <w:pPr>
        <w:pStyle w:val="Tenant_Heading2"/>
      </w:pPr>
      <w:r>
        <w:t>Health presentation</w:t>
      </w:r>
    </w:p>
    <w:p>
      <w:r>
        <w:t>Unknown means no sufficiently fresh observation. Healthy means the registered check passed for the observed scope/time. Degraded means partial capability or stale source data. Unavailable means the required service cannot currently be reached/used. Include checkedAtUtc, lastSuccessUtc, source scope, sanitized reason and freshness policy. A green status never substitutes for permission, consent or approval.</w:t>
      </w:r>
    </w:p>
    <w:p>
      <w:pPr>
        <w:pStyle w:val="Tenant_Heading2"/>
      </w:pPr>
      <w:r>
        <w:t>Linearisation and shutdown limits</w:t>
      </w:r>
    </w:p>
    <w:p>
      <w:r>
        <w:t>The configuration commit is the point after which new ordinary engine work is denied. A running internal batch checks the new generation at registered safe checkpoints. External actions already accepted by a provider cannot be retroactively cancelled. Live response authority still linearises at the existing signed go decision; measure and expose the bounded dispatch race. Preserve receipts and use read-back rather than blind retries.</w:t>
      </w:r>
    </w:p>
    <w:p>
      <w:r>
        <w:br w:type="page"/>
      </w:r>
    </w:p>
    <w:p>
      <w:bookmarkStart w:id="83" w:name="orca_ch_083"/>
      <w:pPr>
        <w:pStyle w:val="Tenant_Heading1"/>
      </w:pPr>
      <w:r>
        <w:t>Configuration schema validation and defaults</w:t>
      </w:r>
      <w:bookmarkEnd w:id="83"/>
    </w:p>
    <w:tbl>
      <w:tblPr>
        <w:tblStyle w:val="Tenant_LightShading-Accent1"/>
        <w:tblW w:type="auto" w:w="0"/>
        <w:tblLayout w:type="fixed"/>
        <w:tblLook w:firstColumn="1" w:firstRow="1" w:lastColumn="0" w:lastRow="0" w:noHBand="0" w:noVBand="1" w:val="04A0"/>
      </w:tblPr>
      <w:tblGrid>
        <w:gridCol w:w="2160"/>
        <w:gridCol w:w="7703"/>
      </w:tblGrid>
      <w:tr>
        <w:trPr>
          <w:tblHeader/>
        </w:trPr>
        <w:tc>
          <w:tcPr>
            <w:tcW w:type="dxa" w:w="2160"/>
          </w:tcPr>
          <w:p>
            <w:r>
              <w:t>Schema attribute</w:t>
            </w:r>
          </w:p>
        </w:tc>
        <w:tc>
          <w:tcPr>
            <w:tcW w:type="dxa" w:w="7704"/>
          </w:tcPr>
          <w:p>
            <w:r>
              <w:t>Required meaning</w:t>
            </w:r>
          </w:p>
        </w:tc>
      </w:tr>
      <w:tr>
        <w:trPr>
          <w:cantSplit/>
        </w:trPr>
        <w:tc>
          <w:tcPr>
            <w:tcW w:type="dxa" w:w="2160"/>
          </w:tcPr>
          <w:p>
            <w:pPr>
              <w:spacing w:after="60" w:before="40" w:line="240" w:lineRule="auto"/>
            </w:pPr>
            <w:r>
              <w:rPr>
                <w:sz w:val="18"/>
              </w:rPr>
              <w:t>key / type / requiredWhen</w:t>
            </w:r>
          </w:p>
        </w:tc>
        <w:tc>
          <w:tcPr>
            <w:tcW w:type="dxa" w:w="7704"/>
          </w:tcPr>
          <w:p>
            <w:pPr>
              <w:spacing w:after="60" w:before="40" w:line="240" w:lineRule="auto"/>
            </w:pPr>
            <w:r>
              <w:rPr>
                <w:sz w:val="18"/>
              </w:rPr>
              <w:t>Stable dotted key; primitive or referenced versioned object; predicate for save/enable/capability. Avoid arbitrary untyped dictionaries in handlers.</w:t>
            </w:r>
          </w:p>
        </w:tc>
      </w:tr>
      <w:tr>
        <w:trPr>
          <w:cantSplit/>
        </w:trPr>
        <w:tc>
          <w:tcPr>
            <w:tcW w:type="dxa" w:w="2160"/>
          </w:tcPr>
          <w:p>
            <w:pPr>
              <w:spacing w:after="60" w:before="40" w:line="240" w:lineRule="auto"/>
            </w:pPr>
            <w:r>
              <w:rPr>
                <w:sz w:val="18"/>
              </w:rPr>
              <w:t>default / origin</w:t>
            </w:r>
          </w:p>
        </w:tc>
        <w:tc>
          <w:tcPr>
            <w:tcW w:type="dxa" w:w="7704"/>
          </w:tcPr>
          <w:p>
            <w:pPr>
              <w:spacing w:after="60" w:before="40" w:line="240" w:lineRule="auto"/>
            </w:pPr>
            <w:r>
              <w:rPr>
                <w:sz w:val="18"/>
              </w:rPr>
              <w:t>Explicit value, inherit(policyRef), or unset. Return origin as platform, tenant or migrated. Example mock-up values are not production defaults.</w:t>
            </w:r>
          </w:p>
        </w:tc>
      </w:tr>
      <w:tr>
        <w:trPr>
          <w:cantSplit/>
        </w:trPr>
        <w:tc>
          <w:tcPr>
            <w:tcW w:type="dxa" w:w="2160"/>
          </w:tcPr>
          <w:p>
            <w:pPr>
              <w:spacing w:after="60" w:before="40" w:line="240" w:lineRule="auto"/>
            </w:pPr>
            <w:r>
              <w:rPr>
                <w:sz w:val="18"/>
              </w:rPr>
              <w:t>validation</w:t>
            </w:r>
          </w:p>
        </w:tc>
        <w:tc>
          <w:tcPr>
            <w:tcW w:type="dxa" w:w="7704"/>
          </w:tcPr>
          <w:p>
            <w:pPr>
              <w:spacing w:after="60" w:before="40" w:line="240" w:lineRule="auto"/>
            </w:pPr>
            <w:r>
              <w:rPr>
                <w:sz w:val="18"/>
              </w:rPr>
              <w:t>Length/range/unit, allowed enum, resource scope checks, uniqueness, cross-field conditions and external consent/readiness requirements.</w:t>
            </w:r>
          </w:p>
        </w:tc>
      </w:tr>
      <w:tr>
        <w:trPr>
          <w:cantSplit/>
        </w:trPr>
        <w:tc>
          <w:tcPr>
            <w:tcW w:type="dxa" w:w="2160"/>
          </w:tcPr>
          <w:p>
            <w:pPr>
              <w:spacing w:after="60" w:before="40" w:line="240" w:lineRule="auto"/>
            </w:pPr>
            <w:r>
              <w:rPr>
                <w:sz w:val="18"/>
              </w:rPr>
              <w:t>permission / sensitivity</w:t>
            </w:r>
          </w:p>
        </w:tc>
        <w:tc>
          <w:tcPr>
            <w:tcW w:type="dxa" w:w="7704"/>
          </w:tcPr>
          <w:p>
            <w:pPr>
              <w:spacing w:after="60" w:before="40" w:line="240" w:lineRule="auto"/>
            </w:pPr>
            <w:r>
              <w:rPr>
                <w:sz w:val="18"/>
              </w:rPr>
              <w:t>Read/edit permission per field group; public configuration, restricted configuration or secret reference. Never return raw secrets.</w:t>
            </w:r>
          </w:p>
        </w:tc>
      </w:tr>
      <w:tr>
        <w:trPr>
          <w:cantSplit/>
        </w:trPr>
        <w:tc>
          <w:tcPr>
            <w:tcW w:type="dxa" w:w="2160"/>
          </w:tcPr>
          <w:p>
            <w:pPr>
              <w:spacing w:after="60" w:before="40" w:line="240" w:lineRule="auto"/>
            </w:pPr>
            <w:r>
              <w:rPr>
                <w:sz w:val="18"/>
              </w:rPr>
              <w:t>applyMode</w:t>
            </w:r>
          </w:p>
        </w:tc>
        <w:tc>
          <w:tcPr>
            <w:tcW w:type="dxa" w:w="7704"/>
          </w:tcPr>
          <w:p>
            <w:pPr>
              <w:spacing w:after="60" w:before="40" w:line="240" w:lineRule="auto"/>
            </w:pPr>
            <w:r>
              <w:rPr>
                <w:sz w:val="18"/>
              </w:rPr>
              <w:t>Hot, checkpoint restart or stop-required. Engine owns the classification and a bounded stop/recovery strategy.</w:t>
            </w:r>
          </w:p>
        </w:tc>
      </w:tr>
      <w:tr>
        <w:trPr>
          <w:cantSplit/>
        </w:trPr>
        <w:tc>
          <w:tcPr>
            <w:tcW w:type="dxa" w:w="2160"/>
          </w:tcPr>
          <w:p>
            <w:pPr>
              <w:spacing w:after="60" w:before="40" w:line="240" w:lineRule="auto"/>
            </w:pPr>
            <w:r>
              <w:rPr>
                <w:sz w:val="18"/>
              </w:rPr>
              <w:t>schemaVersion / migration</w:t>
            </w:r>
          </w:p>
        </w:tc>
        <w:tc>
          <w:tcPr>
            <w:tcW w:type="dxa" w:w="7704"/>
          </w:tcPr>
          <w:p>
            <w:pPr>
              <w:spacing w:after="60" w:before="40" w:line="240" w:lineRule="auto"/>
            </w:pPr>
            <w:r>
              <w:rPr>
                <w:sz w:val="18"/>
              </w:rPr>
              <w:t>Versioned form/DTO and explicit upgrade path. Reject unknown writable fields; read compatibility is negotiated, not guessed.</w:t>
            </w:r>
          </w:p>
        </w:tc>
      </w:tr>
    </w:tbl>
    <w:p>
      <w:pPr>
        <w:pStyle w:val="Tenant_Heading2"/>
      </w:pPr>
      <w:r>
        <w:t>Common engineering validation proposals</w:t>
      </w:r>
    </w:p>
    <w:p>
      <w:r>
        <w:t>Proposed limits for review: configuration request body at most 256 KiB; audit reason 10–1,000 characters after trim; user labels at most 120 characters; descriptions at most 2,000; pageSize 1–100 with default 25. These are admission limits, not service-level promises. Provider identifiers and endpoints use the registered provider grammar; do not apply a universal GUID rule to every cloud resource.</w:t>
      </w:r>
    </w:p>
    <w:p>
      <w:r>
        <w:t>Represent durations as typed seconds/minutes or a versioned schedule object, not display strings such as “every six hours”. Validate a named time-zone identifier against the host-supported catalogue. Store timestamps in UTC and show the chosen display zone. For local-time schedules, explicitly choose gap/overlap behaviour at DST; recommended policy is skip nonexistent wall time and run once for an ambiguous occurrence, with idempotency per logical occurrence.</w:t>
      </w:r>
    </w:p>
    <w:p>
      <w:pPr>
        <w:pStyle w:val="Tenant_Heading2"/>
      </w:pPr>
      <w:r>
        <w:t>Validation phases</w:t>
      </w:r>
    </w:p>
    <w:p>
      <w:r>
        <w:rPr>
          <w:b/>
        </w:rPr>
        <w:t xml:space="preserve">VAL 01  </w:t>
      </w:r>
      <w:r>
        <w:t>Client validation assists editing only. Server validates all fields, references and scope even when the client previously displayed Valid.</w:t>
      </w:r>
    </w:p>
    <w:p>
      <w:r>
        <w:rPr>
          <w:b/>
        </w:rPr>
        <w:t xml:space="preserve">VAL 02  </w:t>
      </w:r>
      <w:r>
        <w:t>Save-draft validation checks structure, allowed keys and safe values. An incomplete draft may be retained user-private; it is not effective configuration.</w:t>
      </w:r>
    </w:p>
    <w:p>
      <w:r>
        <w:rPr>
          <w:b/>
        </w:rPr>
        <w:t xml:space="preserve">VAL 03  </w:t>
      </w:r>
      <w:r>
        <w:t>Plan validation checks complete post-change graph, required fields, permissions, consent projection freshness, tenant state, installation and configuration compatibility.</w:t>
      </w:r>
    </w:p>
    <w:p>
      <w:r>
        <w:rPr>
          <w:b/>
        </w:rPr>
        <w:t xml:space="preserve">VAL 04  </w:t>
      </w:r>
      <w:r>
        <w:t>Apply repeats live permission/lifecycle/revision checks and rejects a plan whose registry, schemas, entitlement or relevant policy fingerprint changed.</w:t>
      </w:r>
    </w:p>
    <w:p>
      <w:r>
        <w:rPr>
          <w:b/>
        </w:rPr>
        <w:t xml:space="preserve">VAL 05  </w:t>
      </w:r>
      <w:r>
        <w:t>Start/dispatch rechecks actual readiness and current authority. A remote validation timeout is reported as Unknown/Unavailable, never fabricated success.</w:t>
      </w:r>
    </w:p>
    <w:p>
      <w:r>
        <w:t>Use existing policy references for retention, allowed regions, operational ceilings, approvals and evaluation thresholds. Do not invent a retention period or local AI quality threshold where the baseline leaves a project decision open. Unknown incoming fields are rejected to prevent mass assignment; redacted outbound fields are never replaced with the literal mask value.</w:t>
      </w:r>
    </w:p>
    <w:p>
      <w:r>
        <w:br w:type="page"/>
      </w:r>
    </w:p>
    <w:p>
      <w:bookmarkStart w:id="84" w:name="orca_ch_084"/>
      <w:pPr>
        <w:pStyle w:val="Tenant_Heading1"/>
      </w:pPr>
      <w:r>
        <w:t>Trusted persistence and indexes</w:t>
      </w:r>
      <w:bookmarkEnd w:id="84"/>
    </w:p>
    <w:p>
      <w:r>
        <w:t>All names in this section are proposed additions under M01 ownership in the operator-held tenant store. Register them against the current collection register before code. The selected tenant store resolver is authoritative; tenantId fields remain defence-in-depth and query partitioning, not a substitute for credential/database isolation.</w:t>
      </w:r>
    </w:p>
    <w:tbl>
      <w:tblPr>
        <w:tblStyle w:val="Tenant_LightShading-Accent1"/>
        <w:tblW w:type="auto" w:w="0"/>
        <w:tblLayout w:type="fixed"/>
        <w:tblLook w:firstColumn="1" w:firstRow="1" w:lastColumn="0" w:lastRow="0" w:noHBand="0" w:noVBand="1" w:val="04A0"/>
      </w:tblPr>
      <w:tblGrid>
        <w:gridCol w:w="2088"/>
        <w:gridCol w:w="7776"/>
      </w:tblGrid>
      <w:tr>
        <w:trPr>
          <w:tblHeader/>
        </w:trPr>
        <w:tc>
          <w:tcPr>
            <w:tcW w:type="dxa" w:w="2088"/>
          </w:tcPr>
          <w:p>
            <w:r>
              <w:t>Document</w:t>
            </w:r>
          </w:p>
        </w:tc>
        <w:tc>
          <w:tcPr>
            <w:tcW w:type="dxa" w:w="7776"/>
          </w:tcPr>
          <w:p>
            <w:r>
              <w:t>Essential fields and invariants</w:t>
            </w:r>
          </w:p>
        </w:tc>
      </w:tr>
      <w:tr>
        <w:trPr>
          <w:cantSplit/>
        </w:trPr>
        <w:tc>
          <w:tcPr>
            <w:tcW w:type="dxa" w:w="2088"/>
          </w:tcPr>
          <w:p>
            <w:pPr>
              <w:spacing w:after="60" w:before="40" w:line="240" w:lineRule="auto"/>
            </w:pPr>
            <w:r>
              <w:rPr>
                <w:sz w:val="18"/>
              </w:rPr>
              <w:t>TenantSettingsHead</w:t>
            </w:r>
          </w:p>
        </w:tc>
        <w:tc>
          <w:tcPr>
            <w:tcW w:type="dxa" w:w="7776"/>
          </w:tcPr>
          <w:p>
            <w:pPr>
              <w:spacing w:after="60" w:before="40" w:line="240" w:lineRule="auto"/>
            </w:pPr>
            <w:r>
              <w:rPr>
                <w:sz w:val="18"/>
              </w:rPr>
              <w:t>tenantId, generation:int64, registryVersion, engineRevisionMap, updatedAtUtc, updatedBy, lastOperationId. Exactly one head per tenant; generation increments on effective configuration commits.</w:t>
            </w:r>
          </w:p>
        </w:tc>
      </w:tr>
      <w:tr>
        <w:trPr>
          <w:cantSplit/>
        </w:trPr>
        <w:tc>
          <w:tcPr>
            <w:tcW w:type="dxa" w:w="2088"/>
          </w:tcPr>
          <w:p>
            <w:pPr>
              <w:spacing w:after="60" w:before="40" w:line="240" w:lineRule="auto"/>
            </w:pPr>
            <w:r>
              <w:rPr>
                <w:sz w:val="18"/>
              </w:rPr>
              <w:t>EngineSettings</w:t>
            </w:r>
          </w:p>
        </w:tc>
        <w:tc>
          <w:tcPr>
            <w:tcW w:type="dxa" w:w="7776"/>
          </w:tcPr>
          <w:p>
            <w:pPr>
              <w:spacing w:after="60" w:before="40" w:line="240" w:lineRule="auto"/>
            </w:pPr>
            <w:r>
              <w:rPr>
                <w:sz w:val="18"/>
              </w:rPr>
              <w:t>tenantId, engineId, schemaVersion, revision, desiredState, typedConfig, secretRefs, configHash, created/updated metadata. Runtime status is separate; no stored roles supplied by clients.</w:t>
            </w:r>
          </w:p>
        </w:tc>
      </w:tr>
      <w:tr>
        <w:trPr>
          <w:cantSplit/>
        </w:trPr>
        <w:tc>
          <w:tcPr>
            <w:tcW w:type="dxa" w:w="2088"/>
          </w:tcPr>
          <w:p>
            <w:pPr>
              <w:spacing w:after="60" w:before="40" w:line="240" w:lineRule="auto"/>
            </w:pPr>
            <w:r>
              <w:rPr>
                <w:sz w:val="18"/>
              </w:rPr>
              <w:t>SettingsPlan</w:t>
            </w:r>
          </w:p>
        </w:tc>
        <w:tc>
          <w:tcPr>
            <w:tcW w:type="dxa" w:w="7776"/>
          </w:tcPr>
          <w:p>
            <w:pPr>
              <w:spacing w:after="60" w:before="40" w:line="240" w:lineRule="auto"/>
            </w:pPr>
            <w:r>
              <w:rPr>
                <w:sz w:val="18"/>
              </w:rPr>
              <w:t>planId, tenantId, requesterStamp, baseGeneration, registry/schema/policy fingerprints, canonical candidateHash, before/after diff, dependency order, impacts, validation results, expiresAtUtc, status.</w:t>
            </w:r>
          </w:p>
        </w:tc>
      </w:tr>
      <w:tr>
        <w:trPr>
          <w:cantSplit/>
        </w:trPr>
        <w:tc>
          <w:tcPr>
            <w:tcW w:type="dxa" w:w="2088"/>
          </w:tcPr>
          <w:p>
            <w:pPr>
              <w:spacing w:after="60" w:before="40" w:line="240" w:lineRule="auto"/>
            </w:pPr>
            <w:r>
              <w:rPr>
                <w:sz w:val="18"/>
              </w:rPr>
              <w:t>SettingsOperation</w:t>
            </w:r>
          </w:p>
        </w:tc>
        <w:tc>
          <w:tcPr>
            <w:tcW w:type="dxa" w:w="7776"/>
          </w:tcPr>
          <w:p>
            <w:pPr>
              <w:spacing w:after="60" w:before="40" w:line="240" w:lineRule="auto"/>
            </w:pPr>
            <w:r>
              <w:rPr>
                <w:sz w:val="18"/>
              </w:rPr>
              <w:t>operationId, tenantId, requestHash, idempotencyKey, committedGeneration, engine steps, status, attempt/lease/fence, safe checkpoints, receipts, started/finished time, sanitized errors.</w:t>
            </w:r>
          </w:p>
        </w:tc>
      </w:tr>
      <w:tr>
        <w:trPr>
          <w:cantSplit/>
        </w:trPr>
        <w:tc>
          <w:tcPr>
            <w:tcW w:type="dxa" w:w="2088"/>
          </w:tcPr>
          <w:p>
            <w:pPr>
              <w:spacing w:after="60" w:before="40" w:line="240" w:lineRule="auto"/>
            </w:pPr>
            <w:r>
              <w:rPr>
                <w:sz w:val="18"/>
              </w:rPr>
              <w:t>EngineRuntimeStatus</w:t>
            </w:r>
          </w:p>
        </w:tc>
        <w:tc>
          <w:tcPr>
            <w:tcW w:type="dxa" w:w="7776"/>
          </w:tcPr>
          <w:p>
            <w:pPr>
              <w:spacing w:after="60" w:before="40" w:line="240" w:lineRule="auto"/>
            </w:pPr>
            <w:r>
              <w:rPr>
                <w:sz w:val="18"/>
              </w:rPr>
              <w:t>engineId, observedGeneration, runtimeState, health, lastCheck/lastSuccess, active work count, blocker and participant version. Status writers cannot rewrite configuration intent.</w:t>
            </w:r>
          </w:p>
        </w:tc>
      </w:tr>
      <w:tr>
        <w:trPr>
          <w:cantSplit/>
        </w:trPr>
        <w:tc>
          <w:tcPr>
            <w:tcW w:type="dxa" w:w="2088"/>
          </w:tcPr>
          <w:p>
            <w:pPr>
              <w:spacing w:after="60" w:before="40" w:line="240" w:lineRule="auto"/>
            </w:pPr>
            <w:r>
              <w:rPr>
                <w:sz w:val="18"/>
              </w:rPr>
              <w:t>ConfigurationAudit and Outbox</w:t>
            </w:r>
          </w:p>
        </w:tc>
        <w:tc>
          <w:tcPr>
            <w:tcW w:type="dxa" w:w="7776"/>
          </w:tcPr>
          <w:p>
            <w:pPr>
              <w:spacing w:after="60" w:before="40" w:line="240" w:lineRule="auto"/>
            </w:pPr>
            <w:r>
              <w:rPr>
                <w:sz w:val="18"/>
              </w:rPr>
              <w:t>Append-only audit references plus committed event envelope. Store in the same operator transaction as the head/config changes where the foundation transaction contract allows it.</w:t>
            </w:r>
          </w:p>
        </w:tc>
      </w:tr>
    </w:tbl>
    <w:tbl>
      <w:tblPr>
        <w:tblStyle w:val="Tenant_LightShading-Accent1"/>
        <w:tblW w:type="auto" w:w="0"/>
        <w:tblLayout w:type="fixed"/>
        <w:tblLook w:firstColumn="1" w:firstRow="1" w:lastColumn="0" w:lastRow="0" w:noHBand="0" w:noVBand="1" w:val="04A0"/>
      </w:tblPr>
      <w:tblGrid>
        <w:gridCol w:w="3671"/>
        <w:gridCol w:w="6192"/>
      </w:tblGrid>
      <w:tr>
        <w:trPr>
          <w:tblHeader/>
        </w:trPr>
        <w:tc>
          <w:tcPr>
            <w:tcW w:type="dxa" w:w="3672"/>
          </w:tcPr>
          <w:p>
            <w:r>
              <w:t>Index proposal</w:t>
            </w:r>
          </w:p>
        </w:tc>
        <w:tc>
          <w:tcPr>
            <w:tcW w:type="dxa" w:w="6192"/>
          </w:tcPr>
          <w:p>
            <w:r>
              <w:t>Purpose</w:t>
            </w:r>
          </w:p>
        </w:tc>
      </w:tr>
      <w:tr>
        <w:trPr>
          <w:cantSplit/>
        </w:trPr>
        <w:tc>
          <w:tcPr>
            <w:tcW w:type="dxa" w:w="3672"/>
          </w:tcPr>
          <w:p>
            <w:pPr>
              <w:spacing w:after="60" w:before="40" w:line="240" w:lineRule="auto"/>
            </w:pPr>
            <w:r>
              <w:rPr>
                <w:sz w:val="18"/>
              </w:rPr>
              <w:t>Head unique tenantId</w:t>
            </w:r>
          </w:p>
        </w:tc>
        <w:tc>
          <w:tcPr>
            <w:tcW w:type="dxa" w:w="6192"/>
          </w:tcPr>
          <w:p>
            <w:pPr>
              <w:spacing w:after="60" w:before="40" w:line="240" w:lineRule="auto"/>
            </w:pPr>
            <w:r>
              <w:rPr>
                <w:sz w:val="18"/>
              </w:rPr>
              <w:t>Prevent concurrent duplicate configuration heads.</w:t>
            </w:r>
          </w:p>
        </w:tc>
      </w:tr>
      <w:tr>
        <w:trPr>
          <w:cantSplit/>
        </w:trPr>
        <w:tc>
          <w:tcPr>
            <w:tcW w:type="dxa" w:w="3672"/>
          </w:tcPr>
          <w:p>
            <w:pPr>
              <w:spacing w:after="60" w:before="40" w:line="240" w:lineRule="auto"/>
            </w:pPr>
            <w:r>
              <w:rPr>
                <w:sz w:val="18"/>
              </w:rPr>
              <w:t>Settings unique tenantId + engineId</w:t>
            </w:r>
          </w:p>
        </w:tc>
        <w:tc>
          <w:tcPr>
            <w:tcW w:type="dxa" w:w="6192"/>
          </w:tcPr>
          <w:p>
            <w:pPr>
              <w:spacing w:after="60" w:before="40" w:line="240" w:lineRule="auto"/>
            </w:pPr>
            <w:r>
              <w:rPr>
                <w:sz w:val="18"/>
              </w:rPr>
              <w:t>One current version per engine; history retained separately under policy.</w:t>
            </w:r>
          </w:p>
        </w:tc>
      </w:tr>
      <w:tr>
        <w:trPr>
          <w:cantSplit/>
        </w:trPr>
        <w:tc>
          <w:tcPr>
            <w:tcW w:type="dxa" w:w="3672"/>
          </w:tcPr>
          <w:p>
            <w:pPr>
              <w:spacing w:after="60" w:before="40" w:line="240" w:lineRule="auto"/>
            </w:pPr>
            <w:r>
              <w:rPr>
                <w:sz w:val="18"/>
              </w:rPr>
              <w:t>Plan unique tenantId + planId; expiry index</w:t>
            </w:r>
          </w:p>
        </w:tc>
        <w:tc>
          <w:tcPr>
            <w:tcW w:type="dxa" w:w="6192"/>
          </w:tcPr>
          <w:p>
            <w:pPr>
              <w:spacing w:after="60" w:before="40" w:line="240" w:lineRule="auto"/>
            </w:pPr>
            <w:r>
              <w:rPr>
                <w:sz w:val="18"/>
              </w:rPr>
              <w:t>Locate review plan; application enforces expiry before use. Database TTL is cleanup, not authority.</w:t>
            </w:r>
          </w:p>
        </w:tc>
      </w:tr>
      <w:tr>
        <w:trPr>
          <w:cantSplit/>
        </w:trPr>
        <w:tc>
          <w:tcPr>
            <w:tcW w:type="dxa" w:w="3672"/>
          </w:tcPr>
          <w:p>
            <w:pPr>
              <w:spacing w:after="60" w:before="40" w:line="240" w:lineRule="auto"/>
            </w:pPr>
            <w:r>
              <w:rPr>
                <w:sz w:val="18"/>
              </w:rPr>
              <w:t>Operation unique tenantId + idempotencyKey</w:t>
            </w:r>
          </w:p>
        </w:tc>
        <w:tc>
          <w:tcPr>
            <w:tcW w:type="dxa" w:w="6192"/>
          </w:tcPr>
          <w:p>
            <w:pPr>
              <w:spacing w:after="60" w:before="40" w:line="240" w:lineRule="auto"/>
            </w:pPr>
            <w:r>
              <w:rPr>
                <w:sz w:val="18"/>
              </w:rPr>
              <w:t>Prevent duplicate accepted commits. Bind to authenticated subject and canonical request hash.</w:t>
            </w:r>
          </w:p>
        </w:tc>
      </w:tr>
      <w:tr>
        <w:trPr>
          <w:cantSplit/>
        </w:trPr>
        <w:tc>
          <w:tcPr>
            <w:tcW w:type="dxa" w:w="3672"/>
          </w:tcPr>
          <w:p>
            <w:pPr>
              <w:spacing w:after="60" w:before="40" w:line="240" w:lineRule="auto"/>
            </w:pPr>
            <w:r>
              <w:rPr>
                <w:sz w:val="18"/>
              </w:rPr>
              <w:t>Runtime unique tenantId + engineId</w:t>
            </w:r>
          </w:p>
        </w:tc>
        <w:tc>
          <w:tcPr>
            <w:tcW w:type="dxa" w:w="6192"/>
          </w:tcPr>
          <w:p>
            <w:pPr>
              <w:spacing w:after="60" w:before="40" w:line="240" w:lineRule="auto"/>
            </w:pPr>
            <w:r>
              <w:rPr>
                <w:sz w:val="18"/>
              </w:rPr>
              <w:t>Single logical status projection; update with observed generation/lease fencing.</w:t>
            </w:r>
          </w:p>
        </w:tc>
      </w:tr>
      <w:tr>
        <w:trPr>
          <w:cantSplit/>
        </w:trPr>
        <w:tc>
          <w:tcPr>
            <w:tcW w:type="dxa" w:w="3672"/>
          </w:tcPr>
          <w:p>
            <w:pPr>
              <w:spacing w:after="60" w:before="40" w:line="240" w:lineRule="auto"/>
            </w:pPr>
            <w:r>
              <w:rPr>
                <w:sz w:val="18"/>
              </w:rPr>
              <w:t>Audit tenantId + occurredAtUtc + eventId</w:t>
            </w:r>
          </w:p>
        </w:tc>
        <w:tc>
          <w:tcPr>
            <w:tcW w:type="dxa" w:w="6192"/>
          </w:tcPr>
          <w:p>
            <w:pPr>
              <w:spacing w:after="60" w:before="40" w:line="240" w:lineRule="auto"/>
            </w:pPr>
            <w:r>
              <w:rPr>
                <w:sz w:val="18"/>
              </w:rPr>
              <w:t>Stable keyset pagination and correlation; no destructive history edits.</w:t>
            </w:r>
          </w:p>
        </w:tc>
      </w:tr>
      <w:tr>
        <w:trPr>
          <w:cantSplit/>
        </w:trPr>
        <w:tc>
          <w:tcPr>
            <w:tcW w:type="dxa" w:w="3672"/>
          </w:tcPr>
          <w:p>
            <w:pPr>
              <w:spacing w:after="60" w:before="40" w:line="240" w:lineRule="auto"/>
            </w:pPr>
            <w:r>
              <w:rPr>
                <w:sz w:val="18"/>
              </w:rPr>
              <w:t>Outbox ordering key + head sequence</w:t>
            </w:r>
          </w:p>
        </w:tc>
        <w:tc>
          <w:tcPr>
            <w:tcW w:type="dxa" w:w="6192"/>
          </w:tcPr>
          <w:p>
            <w:pPr>
              <w:spacing w:after="60" w:before="40" w:line="240" w:lineRule="auto"/>
            </w:pPr>
            <w:r>
              <w:rPr>
                <w:sz w:val="18"/>
              </w:rPr>
              <w:t>Reuse registered foundation ordering/delivery rules; no competing unregistered queue.</w:t>
            </w:r>
          </w:p>
        </w:tc>
      </w:tr>
    </w:tbl>
    <w:p>
      <w:r>
        <w:t>Do not use a TTL that removes legally held audit or unresolved provider receipts. Keep idempotency tombstones for the configured client-retry horizon even if an operation projection is compacted. Exact retention and capacity limits inherit approved policy and appear in the deployment register.</w:t>
      </w:r>
    </w:p>
    <w:p>
      <w:r>
        <w:br w:type="page"/>
      </w:r>
    </w:p>
    <w:p>
      <w:bookmarkStart w:id="85" w:name="orca_ch_085"/>
      <w:pPr>
        <w:pStyle w:val="Tenant_Heading1"/>
      </w:pPr>
      <w:r>
        <w:t>Review plan and atomic commit protocol</w:t>
      </w:r>
      <w:bookmarkEnd w:id="85"/>
    </w:p>
    <w:p>
      <w:r>
        <w:rPr>
          <w:b/>
        </w:rPr>
        <w:t xml:space="preserve">PLAN 01  </w:t>
      </w:r>
      <w:r>
        <w:t>Resolve request principal, immutable tenant code and trusted store binding. Read current generation and the authorised configuration projection. Reject denied scope before returning diffs.</w:t>
      </w:r>
    </w:p>
    <w:p>
      <w:r>
        <w:rPr>
          <w:b/>
        </w:rPr>
        <w:t xml:space="preserve">PLAN 02  </w:t>
      </w:r>
      <w:r>
        <w:t>Build candidate settings from allowed typed changes. Never accept a full client replacement of trusted head, tenantId, actor, runtime health, dependencies or secret values.</w:t>
      </w:r>
    </w:p>
    <w:p>
      <w:r>
        <w:rPr>
          <w:b/>
        </w:rPr>
        <w:t xml:space="preserve">PLAN 03  </w:t>
      </w:r>
      <w:r>
        <w:t>Validate candidate and dependency graph; compute canonical hash using the registered serializer/hash contract. Bind plan to subject, tenant, environment, base generation, schemas, registry, relevant permission/entitlement versions and expiry.</w:t>
      </w:r>
    </w:p>
    <w:p>
      <w:r>
        <w:rPr>
          <w:b/>
        </w:rPr>
        <w:t xml:space="preserve">PLAN 04  </w:t>
      </w:r>
      <w:r>
        <w:t>Return a redacted before/after diff, required/dependent engine impacts, restarts, job stop/catch-up behaviour, validation errors and warnings. A plan with blocking errors cannot be applied.</w:t>
      </w:r>
    </w:p>
    <w:p>
      <w:r>
        <w:rPr>
          <w:b/>
        </w:rPr>
        <w:t xml:space="preserve">PLAN 05  </w:t>
      </w:r>
      <w:r>
        <w:t>On Apply, require If-Match/base generation, planId, candidateHash, idempotency key and a valid reason. Recheck requester, current permissions, lifecycle, entitlement and all fingerprints.</w:t>
      </w:r>
    </w:p>
    <w:p>
      <w:r>
        <w:rPr>
          <w:b/>
        </w:rPr>
        <w:t xml:space="preserve">PLAN 06  </w:t>
      </w:r>
      <w:r>
        <w:t>Within the operator tenant transaction, compare-and-swap head generation; update changed configs/revisions; append audit; insert operation/idempotency receipt and the registered outbox item. No majority/transaction fallback is allowed where the foundation requires it.</w:t>
      </w:r>
    </w:p>
    <w:p>
      <w:r>
        <w:rPr>
          <w:b/>
        </w:rPr>
        <w:t xml:space="preserve">PLAN 07  </w:t>
      </w:r>
      <w:r>
        <w:t>A successful commit returns Accepted with operationId. It means intent committed, not that all external participants have completed. Status is polled/subscribed until reconciliation reaches a terminal result.</w:t>
      </w:r>
    </w:p>
    <w:p>
      <w:r>
        <w:rPr>
          <w:b/>
        </w:rPr>
        <w:t xml:space="preserve">PLAN 08  </w:t>
      </w:r>
      <w:r>
        <w:t>The worker runs explicit stop/start/reconfigure steps in dependency order under an authenticated job identity. Steps are idempotent and fenced. A crash resumes from durable receipts, not from a browser timer.</w:t>
      </w:r>
    </w:p>
    <w:p>
      <w:pPr>
        <w:pStyle w:val="Tenant_Heading2"/>
      </w:pPr>
      <w:r>
        <w:t>Failure after commit</w:t>
      </w:r>
    </w:p>
    <w:p>
      <w:r>
        <w:t>A participant failure marks the operation Failed or NeedsReconciliation with exact per-engine outcomes; desired state and committed generation remain visible. Do not silently roll the database back after an external effect. A corrective/revert plan is a new audited revision and revalidates the current graph. If the foundation uses an Undetermined terminal outcome for an affected cross-store operation, preserve that contract; this feature must not invent an in-product “resolve” action contrary to F5.</w:t>
      </w:r>
    </w:p>
    <w:p>
      <w:pPr>
        <w:pStyle w:val="Tenant_Heading2"/>
      </w:pPr>
      <w:r>
        <w:t>No hidden apply effects</w:t>
      </w:r>
    </w:p>
    <w:p>
      <w:r>
        <w:t>A review warning cannot add scope, enable a dependency, purge data or approve a response. Any derived changes must be explicit plan entries and visible in the diff. Disabling without prerequisites remains blocked until the administrator submits a valid reviewed candidate.</w:t>
      </w:r>
    </w:p>
    <w:p>
      <w:r>
        <w:br w:type="page"/>
      </w:r>
    </w:p>
    <w:p>
      <w:bookmarkStart w:id="86" w:name="orca_ch_086"/>
      <w:pPr>
        <w:pStyle w:val="Tenant_Heading1"/>
      </w:pPr>
      <w:r>
        <w:t>API catalogue and authorisation boundaries</w:t>
      </w:r>
      <w:bookmarkEnd w:id="86"/>
    </w:p>
    <w:p>
      <w:r>
        <w:t>Proposed resource prefix: /api/v1/tenants/{tenantCode}/settings. The foundation resolves tenantCode on every request. Use the same application handlers for Blazor and HTTP clients. API paths are proposed contracts, not existing deployed endpoints.</w:t>
      </w:r>
    </w:p>
    <w:tbl>
      <w:tblPr>
        <w:tblStyle w:val="Tenant_LightShading-Accent1"/>
        <w:tblW w:type="auto" w:w="0"/>
        <w:tblLayout w:type="fixed"/>
        <w:tblLook w:firstColumn="1" w:firstRow="1" w:lastColumn="0" w:lastRow="0" w:noHBand="0" w:noVBand="1" w:val="04A0"/>
      </w:tblPr>
      <w:tblGrid>
        <w:gridCol w:w="3816"/>
        <w:gridCol w:w="6048"/>
      </w:tblGrid>
      <w:tr>
        <w:trPr>
          <w:tblHeader/>
        </w:trPr>
        <w:tc>
          <w:tcPr>
            <w:tcW w:type="dxa" w:w="3816"/>
          </w:tcPr>
          <w:p>
            <w:r>
              <w:t>Method and relative route</w:t>
            </w:r>
          </w:p>
        </w:tc>
        <w:tc>
          <w:tcPr>
            <w:tcW w:type="dxa" w:w="6048"/>
          </w:tcPr>
          <w:p>
            <w:r>
              <w:t>Permission and result</w:t>
            </w:r>
          </w:p>
        </w:tc>
      </w:tr>
      <w:tr>
        <w:trPr>
          <w:cantSplit/>
        </w:trPr>
        <w:tc>
          <w:tcPr>
            <w:tcW w:type="dxa" w:w="3816"/>
          </w:tcPr>
          <w:p>
            <w:pPr>
              <w:spacing w:after="60" w:before="40" w:line="240" w:lineRule="auto"/>
            </w:pPr>
            <w:r>
              <w:rPr>
                <w:sz w:val="18"/>
              </w:rPr>
              <w:t>GET /engines</w:t>
            </w:r>
          </w:p>
        </w:tc>
        <w:tc>
          <w:tcPr>
            <w:tcW w:type="dxa" w:w="6048"/>
          </w:tcPr>
          <w:p>
            <w:pPr>
              <w:spacing w:after="60" w:before="40" w:line="240" w:lineRule="auto"/>
            </w:pPr>
            <w:r>
              <w:rPr>
                <w:sz w:val="18"/>
              </w:rPr>
              <w:t>tenant.read + permitted catalogue scope. Descriptor/config-state projection; server-filtered diagnostics.</w:t>
            </w:r>
          </w:p>
        </w:tc>
      </w:tr>
      <w:tr>
        <w:trPr>
          <w:cantSplit/>
        </w:trPr>
        <w:tc>
          <w:tcPr>
            <w:tcW w:type="dxa" w:w="3816"/>
          </w:tcPr>
          <w:p>
            <w:pPr>
              <w:spacing w:after="60" w:before="40" w:line="240" w:lineRule="auto"/>
            </w:pPr>
            <w:r>
              <w:rPr>
                <w:sz w:val="18"/>
              </w:rPr>
              <w:t>GET /engines/{engineId}</w:t>
            </w:r>
          </w:p>
        </w:tc>
        <w:tc>
          <w:tcPr>
            <w:tcW w:type="dxa" w:w="6048"/>
          </w:tcPr>
          <w:p>
            <w:pPr>
              <w:spacing w:after="60" w:before="40" w:line="240" w:lineRule="auto"/>
            </w:pPr>
            <w:r>
              <w:rPr>
                <w:sz w:val="18"/>
              </w:rPr>
              <w:t>tenant.read plus field-level view grants. Redacted config, schema, desired/runtime/health, dependencies and ETag.</w:t>
            </w:r>
          </w:p>
        </w:tc>
      </w:tr>
      <w:tr>
        <w:trPr>
          <w:cantSplit/>
        </w:trPr>
        <w:tc>
          <w:tcPr>
            <w:tcW w:type="dxa" w:w="3816"/>
          </w:tcPr>
          <w:p>
            <w:pPr>
              <w:spacing w:after="60" w:before="40" w:line="240" w:lineRule="auto"/>
            </w:pPr>
            <w:r>
              <w:rPr>
                <w:sz w:val="18"/>
              </w:rPr>
              <w:t>GET /engines/{engineId}/schema</w:t>
            </w:r>
          </w:p>
        </w:tc>
        <w:tc>
          <w:tcPr>
            <w:tcW w:type="dxa" w:w="6048"/>
          </w:tcPr>
          <w:p>
            <w:pPr>
              <w:spacing w:after="60" w:before="40" w:line="240" w:lineRule="auto"/>
            </w:pPr>
            <w:r>
              <w:rPr>
                <w:sz w:val="18"/>
              </w:rPr>
              <w:t>Authorised configuration schema projection. Include only fields the user may discover; writeability evaluated separately.</w:t>
            </w:r>
          </w:p>
        </w:tc>
      </w:tr>
      <w:tr>
        <w:trPr>
          <w:cantSplit/>
        </w:trPr>
        <w:tc>
          <w:tcPr>
            <w:tcW w:type="dxa" w:w="3816"/>
          </w:tcPr>
          <w:p>
            <w:pPr>
              <w:spacing w:after="60" w:before="40" w:line="240" w:lineRule="auto"/>
            </w:pPr>
            <w:r>
              <w:rPr>
                <w:sz w:val="18"/>
              </w:rPr>
              <w:t>POST /plans</w:t>
            </w:r>
          </w:p>
        </w:tc>
        <w:tc>
          <w:tcPr>
            <w:tcW w:type="dxa" w:w="6048"/>
          </w:tcPr>
          <w:p>
            <w:pPr>
              <w:spacing w:after="60" w:before="40" w:line="240" w:lineRule="auto"/>
            </w:pPr>
            <w:r>
              <w:rPr>
                <w:sz w:val="18"/>
              </w:rPr>
              <w:t>module.manage for state changes; tenant.manage/engine-specific grants for settings. Returns 200 plan, valid=false for known candidate validation errors.</w:t>
            </w:r>
          </w:p>
        </w:tc>
      </w:tr>
      <w:tr>
        <w:trPr>
          <w:cantSplit/>
        </w:trPr>
        <w:tc>
          <w:tcPr>
            <w:tcW w:type="dxa" w:w="3816"/>
          </w:tcPr>
          <w:p>
            <w:pPr>
              <w:spacing w:after="60" w:before="40" w:line="240" w:lineRule="auto"/>
            </w:pPr>
            <w:r>
              <w:rPr>
                <w:sz w:val="18"/>
              </w:rPr>
              <w:t>POST /plans/{planId}/apply</w:t>
            </w:r>
          </w:p>
        </w:tc>
        <w:tc>
          <w:tcPr>
            <w:tcW w:type="dxa" w:w="6048"/>
          </w:tcPr>
          <w:p>
            <w:pPr>
              <w:spacing w:after="60" w:before="40" w:line="240" w:lineRule="auto"/>
            </w:pPr>
            <w:r>
              <w:rPr>
                <w:sz w:val="18"/>
              </w:rPr>
              <w:t>Same live grants as the candidate plus If-Match and Idempotency-Key. Returns 202 committed operation; no inline provider calls.</w:t>
            </w:r>
          </w:p>
        </w:tc>
      </w:tr>
      <w:tr>
        <w:trPr>
          <w:cantSplit/>
        </w:trPr>
        <w:tc>
          <w:tcPr>
            <w:tcW w:type="dxa" w:w="3816"/>
          </w:tcPr>
          <w:p>
            <w:pPr>
              <w:spacing w:after="60" w:before="40" w:line="240" w:lineRule="auto"/>
            </w:pPr>
            <w:r>
              <w:rPr>
                <w:sz w:val="18"/>
              </w:rPr>
              <w:t>GET /operations/{operationId}</w:t>
            </w:r>
          </w:p>
        </w:tc>
        <w:tc>
          <w:tcPr>
            <w:tcW w:type="dxa" w:w="6048"/>
          </w:tcPr>
          <w:p>
            <w:pPr>
              <w:spacing w:after="60" w:before="40" w:line="240" w:lineRule="auto"/>
            </w:pPr>
            <w:r>
              <w:rPr>
                <w:sz w:val="18"/>
              </w:rPr>
              <w:t>Authorised tenant settings/operation view; never rely on possession of the ID alone.</w:t>
            </w:r>
          </w:p>
        </w:tc>
      </w:tr>
      <w:tr>
        <w:trPr>
          <w:cantSplit/>
        </w:trPr>
        <w:tc>
          <w:tcPr>
            <w:tcW w:type="dxa" w:w="3816"/>
          </w:tcPr>
          <w:p>
            <w:pPr>
              <w:spacing w:after="60" w:before="40" w:line="240" w:lineRule="auto"/>
            </w:pPr>
            <w:r>
              <w:rPr>
                <w:sz w:val="18"/>
              </w:rPr>
              <w:t>GET /navigation</w:t>
            </w:r>
          </w:p>
        </w:tc>
        <w:tc>
          <w:tcPr>
            <w:tcW w:type="dxa" w:w="6048"/>
          </w:tcPr>
          <w:p>
            <w:pPr>
              <w:spacing w:after="60" w:before="40" w:line="240" w:lineRule="auto"/>
            </w:pPr>
            <w:r>
              <w:rPr>
                <w:sz w:val="18"/>
              </w:rPr>
              <w:t>Current membership/UAM and engine gates. Returns visible groups/routes only plus version vector.</w:t>
            </w:r>
          </w:p>
        </w:tc>
      </w:tr>
      <w:tr>
        <w:trPr>
          <w:cantSplit/>
        </w:trPr>
        <w:tc>
          <w:tcPr>
            <w:tcW w:type="dxa" w:w="3816"/>
          </w:tcPr>
          <w:p>
            <w:pPr>
              <w:spacing w:after="60" w:before="40" w:line="240" w:lineRule="auto"/>
            </w:pPr>
            <w:r>
              <w:rPr>
                <w:sz w:val="18"/>
              </w:rPr>
              <w:t>GET /activity</w:t>
            </w:r>
          </w:p>
        </w:tc>
        <w:tc>
          <w:tcPr>
            <w:tcW w:type="dxa" w:w="6048"/>
          </w:tcPr>
          <w:p>
            <w:pPr>
              <w:spacing w:after="60" w:before="40" w:line="240" w:lineRule="auto"/>
            </w:pPr>
            <w:r>
              <w:rPr>
                <w:sz w:val="18"/>
              </w:rPr>
              <w:t>audit.read plus tenant scope. Redacted configuration audit with cursor pagination.</w:t>
            </w:r>
          </w:p>
        </w:tc>
      </w:tr>
      <w:tr>
        <w:trPr>
          <w:cantSplit/>
        </w:trPr>
        <w:tc>
          <w:tcPr>
            <w:tcW w:type="dxa" w:w="3816"/>
          </w:tcPr>
          <w:p>
            <w:pPr>
              <w:spacing w:after="60" w:before="40" w:line="240" w:lineRule="auto"/>
            </w:pPr>
            <w:r>
              <w:rPr>
                <w:sz w:val="18"/>
              </w:rPr>
              <w:t>POST /engines/{engineId}/validate-connection</w:t>
            </w:r>
          </w:p>
        </w:tc>
        <w:tc>
          <w:tcPr>
            <w:tcW w:type="dxa" w:w="6048"/>
          </w:tcPr>
          <w:p>
            <w:pPr>
              <w:spacing w:after="60" w:before="40" w:line="240" w:lineRule="auto"/>
            </w:pPr>
            <w:r>
              <w:rPr>
                <w:sz w:val="18"/>
              </w:rPr>
              <w:t>Existing connector-specific configure grant; bounded approved endpoint probe. Never arbitrary user URL execution.</w:t>
            </w:r>
          </w:p>
        </w:tc>
      </w:tr>
      <w:tr>
        <w:trPr>
          <w:cantSplit/>
        </w:trPr>
        <w:tc>
          <w:tcPr>
            <w:tcW w:type="dxa" w:w="3816"/>
          </w:tcPr>
          <w:p>
            <w:pPr>
              <w:spacing w:after="60" w:before="40" w:line="240" w:lineRule="auto"/>
            </w:pPr>
            <w:r>
              <w:rPr>
                <w:sz w:val="18"/>
              </w:rPr>
              <w:t>POST /operations/{id}/retry</w:t>
            </w:r>
          </w:p>
        </w:tc>
        <w:tc>
          <w:tcPr>
            <w:tcW w:type="dxa" w:w="6048"/>
          </w:tcPr>
          <w:p>
            <w:pPr>
              <w:spacing w:after="60" w:before="40" w:line="240" w:lineRule="auto"/>
            </w:pPr>
            <w:r>
              <w:rPr>
                <w:sz w:val="18"/>
              </w:rPr>
              <w:t>Separate registered operation-management grant, if admitted by the catalogue. Default no UI retry for unknown destructive effects.</w:t>
            </w:r>
          </w:p>
        </w:tc>
      </w:tr>
    </w:tbl>
    <w:p>
      <w:pPr>
        <w:pStyle w:val="Tenant_Heading2"/>
      </w:pPr>
      <w:r>
        <w:t>Request conventions</w:t>
      </w:r>
    </w:p>
    <w:p>
      <w:r>
        <w:t>Cookie/OIDC browser requests use the existing CSRF protection. TenantCode is a route selector, never authority. If-Match carries the tenant configuration ETag; missing precondition yields 428. Idempotency-Key is required on apply and scoped to tenant and requester. A repeated key with identical canonical request returns the original operation; a changed payload yields 409. Never accept the client hash without recomputing it.</w:t>
      </w:r>
    </w:p>
    <w:p>
      <w:r>
        <w:t>Settings read and navigation responses are private and versioned. No public/shared CDN caching. Use cursor pagination for activity; filter tenant/permission/resource scope before counts and pagination. A denied or unknown resource follows the existing anti-enumeration convention; do not return a richer existence response to an unentitled user.</w:t>
      </w:r>
    </w:p>
    <w:p>
      <w:r>
        <w:br w:type="page"/>
      </w:r>
    </w:p>
    <w:p>
      <w:bookmarkStart w:id="87" w:name="orca_ch_087"/>
      <w:pPr>
        <w:pStyle w:val="Tenant_Heading1"/>
      </w:pPr>
      <w:r>
        <w:t>API examples and DTO definitions</w:t>
      </w:r>
      <w:bookmarkEnd w:id="87"/>
    </w:p>
    <w:p>
      <w:pPr>
        <w:pStyle w:val="Tenant_Heading2"/>
      </w:pPr>
      <w:r>
        <w:t>Create a review plan</w:t>
      </w:r>
    </w:p>
    <w:p>
      <w:pPr>
        <w:spacing w:after="140"/>
      </w:pPr>
      <w:r>
        <w:rPr>
          <w:rFonts w:ascii="Consolas" w:hAnsi="Consolas"/>
          <w:sz w:val="16"/>
        </w:rPr>
        <w:t>POST /api/v1/tenants/BRAM/settings/plans</w:t>
        <w:br/>
        <w:t>If-Match: "tenant-settings-18"</w:t>
        <w:br/>
        <w:t>{</w:t>
        <w:br/>
        <w:t xml:space="preserve">  "baseGeneration": 18,</w:t>
        <w:br/>
        <w:t xml:space="preserve">  "changes": [</w:t>
        <w:br/>
        <w:t xml:space="preserve">    {"engineId":"M17", "desiredState":"Off",</w:t>
        <w:br/>
        <w:t xml:space="preserve">     "schemaVersion":1, "settingsPatch":{}}</w:t>
        <w:br/>
        <w:t xml:space="preserve">  ]</w:t>
        <w:br/>
        <w:t>}</w:t>
      </w:r>
    </w:p>
    <w:p>
      <w:pPr>
        <w:pStyle w:val="Tenant_Heading2"/>
      </w:pPr>
      <w:r>
        <w:t>Representative plan response</w:t>
      </w:r>
    </w:p>
    <w:p>
      <w:pPr>
        <w:spacing w:after="140"/>
      </w:pPr>
      <w:r>
        <w:rPr>
          <w:rFonts w:ascii="Consolas" w:hAnsi="Consolas"/>
          <w:sz w:val="16"/>
        </w:rPr>
        <w:t>{</w:t>
        <w:br/>
        <w:t xml:space="preserve"> "planId":"sp_example", "baseGeneration":18,</w:t>
        <w:br/>
        <w:t xml:space="preserve"> "valid":true, "expiresAtUtc":"2026-11-01T12:05:00Z",</w:t>
        <w:br/>
        <w:t xml:space="preserve"> "candidateHash":"&lt;server-generated-registered-hash&gt;",</w:t>
        <w:br/>
        <w:t xml:space="preserve"> "diff":[{"engineId":"M17","path":"desiredState",</w:t>
        <w:br/>
        <w:t xml:space="preserve">          "before":"On","after":"Off"}],</w:t>
        <w:br/>
        <w:t xml:space="preserve"> "impacts":["Stop new collection","Hide Azure workspace routes",</w:t>
        <w:br/>
        <w:t xml:space="preserve">            "Retain settings, data and checkpoints"],</w:t>
        <w:br/>
        <w:t xml:space="preserve"> "startOrder":[], "stopOrder":["M17"],</w:t>
        <w:br/>
        <w:t xml:space="preserve"> "validationErrors":[], "warnings":[]</w:t>
        <w:br/>
        <w:t>}</w:t>
      </w:r>
    </w:p>
    <w:p>
      <w:pPr>
        <w:pStyle w:val="Tenant_Heading2"/>
      </w:pPr>
      <w:r>
        <w:t>Apply the plan</w:t>
      </w:r>
    </w:p>
    <w:p>
      <w:pPr>
        <w:spacing w:after="140"/>
      </w:pPr>
      <w:r>
        <w:rPr>
          <w:rFonts w:ascii="Consolas" w:hAnsi="Consolas"/>
          <w:sz w:val="16"/>
        </w:rPr>
        <w:t>POST /api/v1/tenants/BRAM/settings/plans/sp_example/apply</w:t>
        <w:br/>
        <w:t>If-Match: "tenant-settings-18"</w:t>
        <w:br/>
        <w:t>Idempotency-Key: &lt;client-generated-key&gt;</w:t>
        <w:br/>
        <w:t>{ "candidateHash":"&lt;returned-hash&gt;",</w:t>
        <w:br/>
        <w:t xml:space="preserve">  "reason":"Pause collection during subscription review" }</w:t>
        <w:br/>
        <w:br/>
        <w:t>202 Accepted</w:t>
        <w:br/>
        <w:t>Location: /api/v1/tenants/BRAM/settings/operations/op_example</w:t>
        <w:br/>
        <w:t>{ "operationId":"op_example", "generation":19,</w:t>
        <w:br/>
        <w:t xml:space="preserve">  "status":"Committed", "runtimeState":"Stopping" }</w:t>
      </w:r>
    </w:p>
    <w:p>
      <w:pPr>
        <w:pStyle w:val="Tenant_Heading2"/>
      </w:pPr>
      <w:r>
        <w:t>Proposed DTO responsibilities</w:t>
      </w:r>
    </w:p>
    <w:p>
      <w:r>
        <w:t>EngineSettingsView returns engineId/name, schemaVersion, configRevision, desiredState, runtimeState, health, availability, typed authorised settings, masked connection references, required/optional/capability dependencies, readOnlyFields, validation summary and tenant generation. Apply must not accept any of the observation/identity fields from this view as writable values.</w:t>
      </w:r>
    </w:p>
    <w:p>
      <w:r>
        <w:t>ValidationIssue includes code, engineId, fieldPath, severity, safeMessage and remediationKey. Use fieldPath only for permitted fields. Plan warnings are stable codes with explanatory text; acknowledgements never override a blocking policy. OperationStep includes kind, expected/observed generation, participant version, attempt, safe checkpoint, timestamps and a redacted receipt reference.</w:t>
      </w:r>
    </w:p>
    <w:p>
      <w:r>
        <w:br w:type="page"/>
      </w:r>
    </w:p>
    <w:p>
      <w:bookmarkStart w:id="88" w:name="orca_ch_088"/>
      <w:pPr>
        <w:pStyle w:val="Tenant_Heading1"/>
      </w:pPr>
      <w:r>
        <w:t>Error semantics concurrency and idempotency</w:t>
      </w:r>
      <w:bookmarkEnd w:id="88"/>
    </w:p>
    <w:tbl>
      <w:tblPr>
        <w:tblStyle w:val="Tenant_LightShading-Accent1"/>
        <w:tblW w:type="auto" w:w="0"/>
        <w:tblLayout w:type="fixed"/>
        <w:tblLook w:firstColumn="1" w:firstRow="1" w:lastColumn="0" w:lastRow="0" w:noHBand="0" w:noVBand="1" w:val="04A0"/>
      </w:tblPr>
      <w:tblGrid>
        <w:gridCol w:w="2951"/>
        <w:gridCol w:w="6912"/>
      </w:tblGrid>
      <w:tr>
        <w:trPr>
          <w:tblHeader/>
        </w:trPr>
        <w:tc>
          <w:tcPr>
            <w:tcW w:type="dxa" w:w="2952"/>
          </w:tcPr>
          <w:p>
            <w:r>
              <w:t>HTTP / code</w:t>
            </w:r>
          </w:p>
        </w:tc>
        <w:tc>
          <w:tcPr>
            <w:tcW w:type="dxa" w:w="6912"/>
          </w:tcPr>
          <w:p>
            <w:r>
              <w:t>Meaning and required UX</w:t>
            </w:r>
          </w:p>
        </w:tc>
      </w:tr>
      <w:tr>
        <w:trPr>
          <w:cantSplit/>
        </w:trPr>
        <w:tc>
          <w:tcPr>
            <w:tcW w:type="dxa" w:w="2952"/>
          </w:tcPr>
          <w:p>
            <w:pPr>
              <w:spacing w:after="60" w:before="40" w:line="240" w:lineRule="auto"/>
            </w:pPr>
            <w:r>
              <w:rPr>
                <w:sz w:val="18"/>
              </w:rPr>
              <w:t>400 InvalidRequest</w:t>
            </w:r>
          </w:p>
        </w:tc>
        <w:tc>
          <w:tcPr>
            <w:tcW w:type="dxa" w:w="6912"/>
          </w:tcPr>
          <w:p>
            <w:pPr>
              <w:spacing w:after="60" w:before="40" w:line="240" w:lineRule="auto"/>
            </w:pPr>
            <w:r>
              <w:rPr>
                <w:sz w:val="18"/>
              </w:rPr>
              <w:t>Malformed JSON, unsupported field/type, duplicate engine changes or invalid ID grammar. Mark the affected field; no mutation.</w:t>
            </w:r>
          </w:p>
        </w:tc>
      </w:tr>
      <w:tr>
        <w:trPr>
          <w:cantSplit/>
        </w:trPr>
        <w:tc>
          <w:tcPr>
            <w:tcW w:type="dxa" w:w="2952"/>
          </w:tcPr>
          <w:p>
            <w:pPr>
              <w:spacing w:after="60" w:before="40" w:line="240" w:lineRule="auto"/>
            </w:pPr>
            <w:r>
              <w:rPr>
                <w:sz w:val="18"/>
              </w:rPr>
              <w:t>401 AuthenticationRequired</w:t>
            </w:r>
          </w:p>
        </w:tc>
        <w:tc>
          <w:tcPr>
            <w:tcW w:type="dxa" w:w="6912"/>
          </w:tcPr>
          <w:p>
            <w:pPr>
              <w:spacing w:after="60" w:before="40" w:line="240" w:lineRule="auto"/>
            </w:pPr>
            <w:r>
              <w:rPr>
                <w:sz w:val="18"/>
              </w:rPr>
              <w:t>Session invalid; clear restricted UI and use normal sign-in flow. No automatic replay of a response action.</w:t>
            </w:r>
          </w:p>
        </w:tc>
      </w:tr>
      <w:tr>
        <w:trPr>
          <w:cantSplit/>
        </w:trPr>
        <w:tc>
          <w:tcPr>
            <w:tcW w:type="dxa" w:w="2952"/>
          </w:tcPr>
          <w:p>
            <w:pPr>
              <w:spacing w:after="60" w:before="40" w:line="240" w:lineRule="auto"/>
            </w:pPr>
            <w:r>
              <w:rPr>
                <w:sz w:val="18"/>
              </w:rPr>
              <w:t>403 PermissionDenied / TenantStateDenied</w:t>
            </w:r>
          </w:p>
        </w:tc>
        <w:tc>
          <w:tcPr>
            <w:tcW w:type="dxa" w:w="6912"/>
          </w:tcPr>
          <w:p>
            <w:pPr>
              <w:spacing w:after="60" w:before="40" w:line="240" w:lineRule="auto"/>
            </w:pPr>
            <w:r>
              <w:rPr>
                <w:sz w:val="18"/>
              </w:rPr>
              <w:t>Current permission/lifecycle does not permit the operation. Remove controls/route as appropriate; preserve an authorised private draft only.</w:t>
            </w:r>
          </w:p>
        </w:tc>
      </w:tr>
      <w:tr>
        <w:trPr>
          <w:cantSplit/>
        </w:trPr>
        <w:tc>
          <w:tcPr>
            <w:tcW w:type="dxa" w:w="2952"/>
          </w:tcPr>
          <w:p>
            <w:pPr>
              <w:spacing w:after="60" w:before="40" w:line="240" w:lineRule="auto"/>
            </w:pPr>
            <w:r>
              <w:rPr>
                <w:sz w:val="18"/>
              </w:rPr>
              <w:t>404 NotFound</w:t>
            </w:r>
          </w:p>
        </w:tc>
        <w:tc>
          <w:tcPr>
            <w:tcW w:type="dxa" w:w="6912"/>
          </w:tcPr>
          <w:p>
            <w:pPr>
              <w:spacing w:after="60" w:before="40" w:line="240" w:lineRule="auto"/>
            </w:pPr>
            <w:r>
              <w:rPr>
                <w:sz w:val="18"/>
              </w:rPr>
              <w:t>Unknown engine/plan/operation or existing anti-enumeration response for denied resource existence.</w:t>
            </w:r>
          </w:p>
        </w:tc>
      </w:tr>
      <w:tr>
        <w:trPr>
          <w:cantSplit/>
        </w:trPr>
        <w:tc>
          <w:tcPr>
            <w:tcW w:type="dxa" w:w="2952"/>
          </w:tcPr>
          <w:p>
            <w:pPr>
              <w:spacing w:after="60" w:before="40" w:line="240" w:lineRule="auto"/>
            </w:pPr>
            <w:r>
              <w:rPr>
                <w:sz w:val="18"/>
              </w:rPr>
              <w:t>409 DependencyConflict</w:t>
            </w:r>
          </w:p>
        </w:tc>
        <w:tc>
          <w:tcPr>
            <w:tcW w:type="dxa" w:w="6912"/>
          </w:tcPr>
          <w:p>
            <w:pPr>
              <w:spacing w:after="60" w:before="40" w:line="240" w:lineRule="auto"/>
            </w:pPr>
            <w:r>
              <w:rPr>
                <w:sz w:val="18"/>
              </w:rPr>
              <w:t>Candidate leaves an On engine without a required dependency. Show the authorised affected-engine list.</w:t>
            </w:r>
          </w:p>
        </w:tc>
      </w:tr>
      <w:tr>
        <w:trPr>
          <w:cantSplit/>
        </w:trPr>
        <w:tc>
          <w:tcPr>
            <w:tcW w:type="dxa" w:w="2952"/>
          </w:tcPr>
          <w:p>
            <w:pPr>
              <w:spacing w:after="60" w:before="40" w:line="240" w:lineRule="auto"/>
            </w:pPr>
            <w:r>
              <w:rPr>
                <w:sz w:val="18"/>
              </w:rPr>
              <w:t>409 IdempotencyConflict</w:t>
            </w:r>
          </w:p>
        </w:tc>
        <w:tc>
          <w:tcPr>
            <w:tcW w:type="dxa" w:w="6912"/>
          </w:tcPr>
          <w:p>
            <w:pPr>
              <w:spacing w:after="60" w:before="40" w:line="240" w:lineRule="auto"/>
            </w:pPr>
            <w:r>
              <w:rPr>
                <w:sz w:val="18"/>
              </w:rPr>
              <w:t>Same key, different requester-scoped canonical request; require a new deliberate submission.</w:t>
            </w:r>
          </w:p>
        </w:tc>
      </w:tr>
      <w:tr>
        <w:trPr>
          <w:cantSplit/>
        </w:trPr>
        <w:tc>
          <w:tcPr>
            <w:tcW w:type="dxa" w:w="2952"/>
          </w:tcPr>
          <w:p>
            <w:pPr>
              <w:spacing w:after="60" w:before="40" w:line="240" w:lineRule="auto"/>
            </w:pPr>
            <w:r>
              <w:rPr>
                <w:sz w:val="18"/>
              </w:rPr>
              <w:t>412 ConfigurationChanged</w:t>
            </w:r>
          </w:p>
        </w:tc>
        <w:tc>
          <w:tcPr>
            <w:tcW w:type="dxa" w:w="6912"/>
          </w:tcPr>
          <w:p>
            <w:pPr>
              <w:spacing w:after="60" w:before="40" w:line="240" w:lineRule="auto"/>
            </w:pPr>
            <w:r>
              <w:rPr>
                <w:sz w:val="18"/>
              </w:rPr>
              <w:t>ETag, registry/schema or relevant policy fingerprint stale. Reload and compare; retain draft, never silently retry apply.</w:t>
            </w:r>
          </w:p>
        </w:tc>
      </w:tr>
      <w:tr>
        <w:trPr>
          <w:cantSplit/>
        </w:trPr>
        <w:tc>
          <w:tcPr>
            <w:tcW w:type="dxa" w:w="2952"/>
          </w:tcPr>
          <w:p>
            <w:pPr>
              <w:spacing w:after="60" w:before="40" w:line="240" w:lineRule="auto"/>
            </w:pPr>
            <w:r>
              <w:rPr>
                <w:sz w:val="18"/>
              </w:rPr>
              <w:t>422 ConfigurationInvalid</w:t>
            </w:r>
          </w:p>
        </w:tc>
        <w:tc>
          <w:tcPr>
            <w:tcW w:type="dxa" w:w="6912"/>
          </w:tcPr>
          <w:p>
            <w:pPr>
              <w:spacing w:after="60" w:before="40" w:line="240" w:lineRule="auto"/>
            </w:pPr>
            <w:r>
              <w:rPr>
                <w:sz w:val="18"/>
              </w:rPr>
              <w:t>Structurally valid but unusable settings, consent/scope failure or unavailable entitlement. Provide safe field errors.</w:t>
            </w:r>
          </w:p>
        </w:tc>
      </w:tr>
      <w:tr>
        <w:trPr>
          <w:cantSplit/>
        </w:trPr>
        <w:tc>
          <w:tcPr>
            <w:tcW w:type="dxa" w:w="2952"/>
          </w:tcPr>
          <w:p>
            <w:pPr>
              <w:spacing w:after="60" w:before="40" w:line="240" w:lineRule="auto"/>
            </w:pPr>
            <w:r>
              <w:rPr>
                <w:sz w:val="18"/>
              </w:rPr>
              <w:t>428 PreconditionRequired</w:t>
            </w:r>
          </w:p>
        </w:tc>
        <w:tc>
          <w:tcPr>
            <w:tcW w:type="dxa" w:w="6912"/>
          </w:tcPr>
          <w:p>
            <w:pPr>
              <w:spacing w:after="60" w:before="40" w:line="240" w:lineRule="auto"/>
            </w:pPr>
            <w:r>
              <w:rPr>
                <w:sz w:val="18"/>
              </w:rPr>
              <w:t>Missing If-Match for a mutation/review plan. Load current settings before applying.</w:t>
            </w:r>
          </w:p>
        </w:tc>
      </w:tr>
      <w:tr>
        <w:trPr>
          <w:cantSplit/>
        </w:trPr>
        <w:tc>
          <w:tcPr>
            <w:tcW w:type="dxa" w:w="2952"/>
          </w:tcPr>
          <w:p>
            <w:pPr>
              <w:spacing w:after="60" w:before="40" w:line="240" w:lineRule="auto"/>
            </w:pPr>
            <w:r>
              <w:rPr>
                <w:sz w:val="18"/>
              </w:rPr>
              <w:t>429 RateLimited</w:t>
            </w:r>
          </w:p>
        </w:tc>
        <w:tc>
          <w:tcPr>
            <w:tcW w:type="dxa" w:w="6912"/>
          </w:tcPr>
          <w:p>
            <w:pPr>
              <w:spacing w:after="60" w:before="40" w:line="240" w:lineRule="auto"/>
            </w:pPr>
            <w:r>
              <w:rPr>
                <w:sz w:val="18"/>
              </w:rPr>
              <w:t>Configuration/probe or provider limit exceeded; honour safe retry metadata. Do not retry destructive unknown outcomes.</w:t>
            </w:r>
          </w:p>
        </w:tc>
      </w:tr>
      <w:tr>
        <w:trPr>
          <w:cantSplit/>
        </w:trPr>
        <w:tc>
          <w:tcPr>
            <w:tcW w:type="dxa" w:w="2952"/>
          </w:tcPr>
          <w:p>
            <w:pPr>
              <w:spacing w:after="60" w:before="40" w:line="240" w:lineRule="auto"/>
            </w:pPr>
            <w:r>
              <w:rPr>
                <w:sz w:val="18"/>
              </w:rPr>
              <w:t>503 AuthorityUnavailable</w:t>
            </w:r>
          </w:p>
        </w:tc>
        <w:tc>
          <w:tcPr>
            <w:tcW w:type="dxa" w:w="6912"/>
          </w:tcPr>
          <w:p>
            <w:pPr>
              <w:spacing w:after="60" w:before="40" w:line="240" w:lineRule="auto"/>
            </w:pPr>
            <w:r>
              <w:rPr>
                <w:sz w:val="18"/>
              </w:rPr>
              <w:t>Trusted configuration/UAM/transaction authority unavailable. Fail closed for effective changes; a spinner is not success.</w:t>
            </w:r>
          </w:p>
        </w:tc>
      </w:tr>
    </w:tbl>
    <w:p>
      <w:r>
        <w:t>Plan-generation convention: POST /plans returns 200 with valid=false for a well-formed candidate that has field, configuration or dependency validation issues, so review can display the complete issue set. Malformed or denied requests still use 400/403. Apply or connection-validation endpoints use 409/422 when a conflict or unusable configuration prevents that operation; they never commit an invalid plan.</w:t>
      </w:r>
    </w:p>
    <w:p>
      <w:pPr>
        <w:pStyle w:val="Tenant_Heading2"/>
      </w:pPr>
      <w:r>
        <w:t>Concurrent administrator example</w:t>
      </w:r>
    </w:p>
    <w:p>
      <w:r>
        <w:t>A and B load generation 18. A plans and applies M17 Off, committing generation 19. B attempts to apply a plan based on 18: reject 412, return current revision metadata without unauthorised data. B reviews a new diff against 19. Per-engine independence is not a licence to merge two stale graphs invisibly; the tenant generation protects cross-engine invariants.</w:t>
      </w:r>
    </w:p>
    <w:p>
      <w:pPr>
        <w:pStyle w:val="Tenant_Heading2"/>
      </w:pPr>
      <w:r>
        <w:t>Crash and retry example</w:t>
      </w:r>
    </w:p>
    <w:p>
      <w:r>
        <w:t>If an apply response is lost after commit, resubmitting the same idempotency key returns the committed operation rather than incrementing the generation again. If a worker lease expires, a new runner acquires a higher fencing token and reads the durable step receipt. The old runner cannot publish a stale On/Off status. A provider timeout with unknown acceptance leads to read-back/reconciliation, not a repeated destructive command.</w:t>
      </w:r>
    </w:p>
    <w:p>
      <w:r>
        <w:t>Proposed review-plan lifetime is five minutes, configurable by trusted policy. The server enforces expiry even before a TTL cleanup runs. Expiry affects the review plan, not an operation already committed. Long-running operation polling may refresh display credentials but cannot change the original audited intent or bypass current content access.</w:t>
      </w:r>
    </w:p>
    <w:p>
      <w:r>
        <w:br w:type="page"/>
      </w:r>
    </w:p>
    <w:p>
      <w:bookmarkStart w:id="89" w:name="orca_ch_089"/>
      <w:pPr>
        <w:pStyle w:val="Tenant_Heading1"/>
      </w:pPr>
      <w:r>
        <w:t>Events invalidation and job enforcement</w:t>
      </w:r>
      <w:bookmarkEnd w:id="89"/>
    </w:p>
    <w:p>
      <w:pPr>
        <w:pStyle w:val="Tenant_Heading2"/>
      </w:pPr>
      <w:r>
        <w:t>Registered event envelope proposal</w:t>
      </w:r>
    </w:p>
    <w:p>
      <w:pPr>
        <w:spacing w:after="140"/>
      </w:pPr>
      <w:r>
        <w:rPr>
          <w:rFonts w:ascii="Consolas" w:hAnsi="Consolas"/>
          <w:sz w:val="16"/>
        </w:rPr>
        <w:t>{ eventId, eventKind:"tenant.engine.configuration.changed",</w:t>
        <w:br/>
        <w:t xml:space="preserve">  schemaVersion, tenantId, environment, operationId,</w:t>
        <w:br/>
        <w:t xml:space="preserve">  tenantGeneration, changedEngineIds, registryVersion,</w:t>
        <w:br/>
        <w:t xml:space="preserve">  occurredAtUtc, correlationId, causationId }</w:t>
      </w:r>
    </w:p>
    <w:p>
      <w:r>
        <w:t>Publish from the committed operator outbox. Events contain no secret values, business content or complete permission matrix. Consumers deduplicate by eventId and process monotonically by tenant generation. An event with an older generation never restores a stale grant. A gap triggers authoritative reload; events are invalidation hints, not permission decisions.</w:t>
      </w:r>
    </w:p>
    <w:p>
      <w:r>
        <w:rPr>
          <w:b/>
        </w:rPr>
        <w:t xml:space="preserve">JOB 01  </w:t>
      </w:r>
      <w:r>
        <w:t>At enqueue, bind engine, capability, tenant/environment, authenticated requester/system identity, config generation and action parameters. Null requester cannot manufacture system authority.</w:t>
      </w:r>
    </w:p>
    <w:p>
      <w:r>
        <w:rPr>
          <w:b/>
        </w:rPr>
        <w:t xml:space="preserve">JOB 02  </w:t>
      </w:r>
      <w:r>
        <w:t>At start/retry, resolve current context and check tenant lifecycle, desired/runtime state, UAM, consent and policy. Rechecking is mandatory even if the queued generation was valid.</w:t>
      </w:r>
    </w:p>
    <w:p>
      <w:r>
        <w:rPr>
          <w:b/>
        </w:rPr>
        <w:t xml:space="preserve">JOB 03  </w:t>
      </w:r>
      <w:r>
        <w:t>Before external dispatch, reuse the current live response gate where applicable. Verify registered target/adapter, independent approval, replay/expiry and kill-switch state.</w:t>
      </w:r>
    </w:p>
    <w:p>
      <w:r>
        <w:rPr>
          <w:b/>
        </w:rPr>
        <w:t xml:space="preserve">JOB 04  </w:t>
      </w:r>
      <w:r>
        <w:t>After configuration change, signal engine workers and invalidate circuit projections. New ordinary jobs are denied immediately by authoritative state checks, even if an invalidation message is delayed.</w:t>
      </w:r>
    </w:p>
    <w:p>
      <w:r>
        <w:rPr>
          <w:b/>
        </w:rPr>
        <w:t xml:space="preserve">JOB 05  </w:t>
      </w:r>
      <w:r>
        <w:t>Checkpoint continuing internal work with operationId, tenant, engine, completed boundary and lease fence. Only registered drain/recovery work may continue after desired Off; it cannot broaden into new user work.</w:t>
      </w:r>
    </w:p>
    <w:p>
      <w:r>
        <w:rPr>
          <w:b/>
        </w:rPr>
        <w:t xml:space="preserve">JOB 06  </w:t>
      </w:r>
      <w:r>
        <w:t>Retain source cursors and idempotency receipts. On re-enable, compute missed window from last successful checkpoint and validate bounded catch-up. Expired approvals, consent changes or new exclusions require fresh authority.</w:t>
      </w:r>
    </w:p>
    <w:p>
      <w:r>
        <w:rPr>
          <w:b/>
        </w:rPr>
        <w:t xml:space="preserve">JOB 07  </w:t>
      </w:r>
      <w:r>
        <w:t>Health probes use an explicitly authorised minimal identity. An Off engine must not keep ingesting business content under the label “health check”. Foundation scanning/custody/holds continue under their own registered authority.</w:t>
      </w:r>
    </w:p>
    <w:p>
      <w:r>
        <w:rPr>
          <w:b/>
        </w:rPr>
        <w:t xml:space="preserve">JOB 08  </w:t>
      </w:r>
      <w:r>
        <w:t>Stop/remove the tenant schedule, not a shared provider service or another tenant’s job runner. Enforce per-tenant concurrency and back-pressure so a busy tenant cannot exhaust all workers.</w:t>
      </w:r>
    </w:p>
    <w:p>
      <w:pPr>
        <w:pStyle w:val="Tenant_Heading2"/>
      </w:pPr>
      <w:r>
        <w:t>Browser and circuit invalidation</w:t>
      </w:r>
    </w:p>
    <w:p>
      <w:r>
        <w:t>Rebuild navigation after sign-in, tenant switch, engine configuration change, local entitlement/matrix change and reconnect. Clear old tenant grids, buffered results, selections and route caches first. Locally revoked access blocks the next authoritative operation; external directory removal remains subject to observed token/directory freshness. Do not promise instantaneous provider or directory cancellation.</w:t>
      </w:r>
    </w:p>
    <w:p>
      <w:r>
        <w:br w:type="page"/>
      </w:r>
    </w:p>
    <w:p>
      <w:bookmarkStart w:id="90" w:name="orca_ch_090"/>
      <w:pPr>
        <w:pStyle w:val="Tenant_Heading1"/>
      </w:pPr>
      <w:r>
        <w:t>Navigation projection and route enforcement</w:t>
      </w:r>
      <w:bookmarkEnd w:id="90"/>
    </w:p>
    <w:p>
      <w:pPr>
        <w:pStyle w:val="Tenant_Heading2"/>
      </w:pPr>
      <w:r>
        <w:t>Server side visibility function</w:t>
      </w:r>
    </w:p>
    <w:p>
      <w:pPr>
        <w:spacing w:after="140"/>
      </w:pPr>
      <w:r>
        <w:rPr>
          <w:rFonts w:ascii="Consolas" w:hAnsi="Consolas"/>
          <w:sz w:val="16"/>
        </w:rPr>
        <w:t>visible(route, ctx) =</w:t>
        <w:br/>
        <w:t xml:space="preserve">  membershipAllows(ctx.tenant, ctx.subject)</w:t>
        <w:br/>
        <w:t xml:space="preserve">  &amp;&amp; lifecycleAllows(route.operation, ctx.tenantState)</w:t>
        <w:br/>
        <w:t xml:space="preserve">  &amp;&amp; requiredEngineCapabilitiesEffective(route, ctx)</w:t>
        <w:br/>
        <w:t xml:space="preserve">  &amp;&amp; permissionGate.Allows(route.entryPermission, ctx)</w:t>
        <w:br/>
        <w:t xml:space="preserve">  &amp;&amp; routeAudienceAndResourceScopeAllows(ctx)</w:t>
        <w:br/>
        <w:br/>
        <w:t>children = routes.filter(visible)</w:t>
        <w:br/>
        <w:t>group = children.any ? group(children, firstAllowedChild) : absent</w:t>
      </w:r>
    </w:p>
    <w:p>
      <w:r>
        <w:t>Compute role allows minus role-scoped denies for each contribution, then union; a subject deny overrides the union. Respect the role ceiling and three-state tenant role override (inherit, narrow set, explicit empty set). Platform.SuperAdmin has platform administration scope only; it cannot read customer content or approve its own request merely because it is an administrator.</w:t>
      </w:r>
    </w:p>
    <w:tbl>
      <w:tblPr>
        <w:tblStyle w:val="Tenant_LightShading-Accent1"/>
        <w:tblW w:type="auto" w:w="0"/>
        <w:tblLayout w:type="fixed"/>
        <w:tblLook w:firstColumn="1" w:firstRow="1" w:lastColumn="0" w:lastRow="0" w:noHBand="0" w:noVBand="1" w:val="04A0"/>
      </w:tblPr>
      <w:tblGrid>
        <w:gridCol w:w="2376"/>
        <w:gridCol w:w="7488"/>
      </w:tblGrid>
      <w:tr>
        <w:trPr>
          <w:tblHeader/>
        </w:trPr>
        <w:tc>
          <w:tcPr>
            <w:tcW w:type="dxa" w:w="2376"/>
          </w:tcPr>
          <w:p>
            <w:r>
              <w:t>Surface</w:t>
            </w:r>
          </w:p>
        </w:tc>
        <w:tc>
          <w:tcPr>
            <w:tcW w:type="dxa" w:w="7488"/>
          </w:tcPr>
          <w:p>
            <w:r>
              <w:t>Required behaviour</w:t>
            </w:r>
          </w:p>
        </w:tc>
      </w:tr>
      <w:tr>
        <w:trPr>
          <w:cantSplit/>
        </w:trPr>
        <w:tc>
          <w:tcPr>
            <w:tcW w:type="dxa" w:w="2376"/>
          </w:tcPr>
          <w:p>
            <w:pPr>
              <w:spacing w:after="60" w:before="40" w:line="240" w:lineRule="auto"/>
            </w:pPr>
            <w:r>
              <w:rPr>
                <w:sz w:val="18"/>
              </w:rPr>
              <w:t>Sidebar and footer</w:t>
            </w:r>
          </w:p>
        </w:tc>
        <w:tc>
          <w:tcPr>
            <w:tcW w:type="dxa" w:w="7488"/>
          </w:tcPr>
          <w:p>
            <w:pPr>
              <w:spacing w:after="60" w:before="40" w:line="240" w:lineRule="auto"/>
            </w:pPr>
            <w:r>
              <w:rPr>
                <w:sz w:val="18"/>
              </w:rPr>
              <w:t>Remove inaccessible items entirely. Remove empty groups, separators and badges. No greyed restricted destinations for ordinary users.</w:t>
            </w:r>
          </w:p>
        </w:tc>
      </w:tr>
      <w:tr>
        <w:trPr>
          <w:cantSplit/>
        </w:trPr>
        <w:tc>
          <w:tcPr>
            <w:tcW w:type="dxa" w:w="2376"/>
          </w:tcPr>
          <w:p>
            <w:pPr>
              <w:spacing w:after="60" w:before="40" w:line="240" w:lineRule="auto"/>
            </w:pPr>
            <w:r>
              <w:rPr>
                <w:sz w:val="18"/>
              </w:rPr>
              <w:t>Area tabs and breadcrumbs</w:t>
            </w:r>
          </w:p>
        </w:tc>
        <w:tc>
          <w:tcPr>
            <w:tcW w:type="dxa" w:w="7488"/>
          </w:tcPr>
          <w:p>
            <w:pPr>
              <w:spacing w:after="60" w:before="40" w:line="240" w:lineRule="auto"/>
            </w:pPr>
            <w:r>
              <w:rPr>
                <w:sz w:val="18"/>
              </w:rPr>
              <w:t>Use the same permitted child projection. Group links target first allowed child, not an unfiltered subs[0]. Breadcrumbs never link to a denied route.</w:t>
            </w:r>
          </w:p>
        </w:tc>
      </w:tr>
      <w:tr>
        <w:trPr>
          <w:cantSplit/>
        </w:trPr>
        <w:tc>
          <w:tcPr>
            <w:tcW w:type="dxa" w:w="2376"/>
          </w:tcPr>
          <w:p>
            <w:pPr>
              <w:spacing w:after="60" w:before="40" w:line="240" w:lineRule="auto"/>
            </w:pPr>
            <w:r>
              <w:rPr>
                <w:sz w:val="18"/>
              </w:rPr>
              <w:t>Dashboard cards and search</w:t>
            </w:r>
          </w:p>
        </w:tc>
        <w:tc>
          <w:tcPr>
            <w:tcW w:type="dxa" w:w="7488"/>
          </w:tcPr>
          <w:p>
            <w:pPr>
              <w:spacing w:after="60" w:before="40" w:line="240" w:lineRule="auto"/>
            </w:pPr>
            <w:r>
              <w:rPr>
                <w:sz w:val="18"/>
              </w:rPr>
              <w:t>Filter before counts/ranking/pagination. No hidden-module names, metrics, cached results or shortcut links leaking denied data.</w:t>
            </w:r>
          </w:p>
        </w:tc>
      </w:tr>
      <w:tr>
        <w:trPr>
          <w:cantSplit/>
        </w:trPr>
        <w:tc>
          <w:tcPr>
            <w:tcW w:type="dxa" w:w="2376"/>
          </w:tcPr>
          <w:p>
            <w:pPr>
              <w:spacing w:after="60" w:before="40" w:line="240" w:lineRule="auto"/>
            </w:pPr>
            <w:r>
              <w:rPr>
                <w:sz w:val="18"/>
              </w:rPr>
              <w:t>Command palette and deep links</w:t>
            </w:r>
          </w:p>
        </w:tc>
        <w:tc>
          <w:tcPr>
            <w:tcW w:type="dxa" w:w="7488"/>
          </w:tcPr>
          <w:p>
            <w:pPr>
              <w:spacing w:after="60" w:before="40" w:line="240" w:lineRule="auto"/>
            </w:pPr>
            <w:r>
              <w:rPr>
                <w:sz w:val="18"/>
              </w:rPr>
              <w:t>Palette uses the same route projection. Direct URLs still invoke server gates; hidden menus are not a security boundary.</w:t>
            </w:r>
          </w:p>
        </w:tc>
      </w:tr>
      <w:tr>
        <w:trPr>
          <w:cantSplit/>
        </w:trPr>
        <w:tc>
          <w:tcPr>
            <w:tcW w:type="dxa" w:w="2376"/>
          </w:tcPr>
          <w:p>
            <w:pPr>
              <w:spacing w:after="60" w:before="40" w:line="240" w:lineRule="auto"/>
            </w:pPr>
            <w:r>
              <w:rPr>
                <w:sz w:val="18"/>
              </w:rPr>
              <w:t>Multi-engine area</w:t>
            </w:r>
          </w:p>
        </w:tc>
        <w:tc>
          <w:tcPr>
            <w:tcW w:type="dxa" w:w="7488"/>
          </w:tcPr>
          <w:p>
            <w:pPr>
              <w:spacing w:after="60" w:before="40" w:line="240" w:lineRule="auto"/>
            </w:pPr>
            <w:r>
              <w:rPr>
                <w:sz w:val="18"/>
              </w:rPr>
              <w:t>Show each authorised capability independently. M10 Off must not hide a separately permitted M11 budget page; M04 Off must not hide independently allowed ATT&amp;CK functionality.</w:t>
            </w:r>
          </w:p>
        </w:tc>
      </w:tr>
      <w:tr>
        <w:trPr>
          <w:cantSplit/>
        </w:trPr>
        <w:tc>
          <w:tcPr>
            <w:tcW w:type="dxa" w:w="2376"/>
          </w:tcPr>
          <w:p>
            <w:pPr>
              <w:spacing w:after="60" w:before="40" w:line="240" w:lineRule="auto"/>
            </w:pPr>
            <w:r>
              <w:rPr>
                <w:sz w:val="18"/>
              </w:rPr>
              <w:t>No accessible routes</w:t>
            </w:r>
          </w:p>
        </w:tc>
        <w:tc>
          <w:tcPr>
            <w:tcW w:type="dxa" w:w="7488"/>
          </w:tcPr>
          <w:p>
            <w:pPr>
              <w:spacing w:after="60" w:before="40" w:line="240" w:lineRule="auto"/>
            </w:pPr>
            <w:r>
              <w:rPr>
                <w:sz w:val="18"/>
              </w:rPr>
              <w:t>Render a neutral no-access landing page with authorised help/request-access contact, not a fallback to the incident queue.</w:t>
            </w:r>
          </w:p>
        </w:tc>
      </w:tr>
      <w:tr>
        <w:trPr>
          <w:cantSplit/>
        </w:trPr>
        <w:tc>
          <w:tcPr>
            <w:tcW w:type="dxa" w:w="2376"/>
          </w:tcPr>
          <w:p>
            <w:pPr>
              <w:spacing w:after="60" w:before="40" w:line="240" w:lineRule="auto"/>
            </w:pPr>
            <w:r>
              <w:rPr>
                <w:sz w:val="18"/>
              </w:rPr>
              <w:t>Admin catalogue exception</w:t>
            </w:r>
          </w:p>
        </w:tc>
        <w:tc>
          <w:tcPr>
            <w:tcW w:type="dxa" w:w="7488"/>
          </w:tcPr>
          <w:p>
            <w:pPr>
              <w:spacing w:after="60" w:before="40" w:line="240" w:lineRule="auto"/>
            </w:pPr>
            <w:r>
              <w:rPr>
                <w:sz w:val="18"/>
              </w:rPr>
              <w:t>Authorised tenant/catalogue administrators can inspect Off/unavailable engines and blockers; normal workspace navigation remains hidden.</w:t>
            </w:r>
          </w:p>
        </w:tc>
      </w:tr>
      <w:tr>
        <w:trPr>
          <w:cantSplit/>
        </w:trPr>
        <w:tc>
          <w:tcPr>
            <w:tcW w:type="dxa" w:w="2376"/>
          </w:tcPr>
          <w:p>
            <w:pPr>
              <w:spacing w:after="60" w:before="40" w:line="240" w:lineRule="auto"/>
            </w:pPr>
            <w:r>
              <w:rPr>
                <w:sz w:val="18"/>
              </w:rPr>
              <w:t>Open page loses access</w:t>
            </w:r>
          </w:p>
        </w:tc>
        <w:tc>
          <w:tcPr>
            <w:tcW w:type="dxa" w:w="7488"/>
          </w:tcPr>
          <w:p>
            <w:pPr>
              <w:spacing w:after="60" w:before="40" w:line="240" w:lineRule="auto"/>
            </w:pPr>
            <w:r>
              <w:rPr>
                <w:sz w:val="18"/>
              </w:rPr>
              <w:t>Stop pending queries, clear restricted content and route to an authorised landing. Avoid flashing stale data during reconnect or tenant switch.</w:t>
            </w:r>
          </w:p>
        </w:tc>
      </w:tr>
    </w:tbl>
    <w:p>
      <w:r>
        <w:t>Return groupId, displayLabel, ordered permitted routeId/path/entryPermission/capability metadata and a version vector. Do not return the full hidden route catalogue to ordinary clients and rely on CSS. Server endpoints and background handlers independently enforce the same gate. Cross-tenant views evaluate visibility and data scope for each tenant before aggregation.</w:t>
      </w:r>
    </w:p>
    <w:p>
      <w:r>
        <w:br w:type="page"/>
      </w:r>
    </w:p>
    <w:p>
      <w:bookmarkStart w:id="91" w:name="orca_ch_091"/>
      <w:pPr>
        <w:pStyle w:val="Tenant_Heading1"/>
      </w:pPr>
      <w:r>
        <w:t>Blazor screens components and interactions</w:t>
      </w:r>
      <w:bookmarkEnd w:id="91"/>
    </w:p>
    <w:tbl>
      <w:tblPr>
        <w:tblStyle w:val="Tenant_LightShading-Accent1"/>
        <w:tblW w:type="auto" w:w="0"/>
        <w:tblLayout w:type="fixed"/>
        <w:tblLook w:firstColumn="1" w:firstRow="1" w:lastColumn="0" w:lastRow="0" w:noHBand="0" w:noVBand="1" w:val="04A0"/>
      </w:tblPr>
      <w:tblGrid>
        <w:gridCol w:w="2448"/>
        <w:gridCol w:w="7416"/>
      </w:tblGrid>
      <w:tr>
        <w:trPr>
          <w:tblHeader/>
        </w:trPr>
        <w:tc>
          <w:tcPr>
            <w:tcW w:type="dxa" w:w="2448"/>
          </w:tcPr>
          <w:p>
            <w:r>
              <w:t>Component proposal</w:t>
            </w:r>
          </w:p>
        </w:tc>
        <w:tc>
          <w:tcPr>
            <w:tcW w:type="dxa" w:w="7416"/>
          </w:tcPr>
          <w:p>
            <w:r>
              <w:t>Responsibilities</w:t>
            </w:r>
          </w:p>
        </w:tc>
      </w:tr>
      <w:tr>
        <w:trPr>
          <w:cantSplit/>
        </w:trPr>
        <w:tc>
          <w:tcPr>
            <w:tcW w:type="dxa" w:w="2448"/>
          </w:tcPr>
          <w:p>
            <w:pPr>
              <w:spacing w:after="60" w:before="40" w:line="240" w:lineRule="auto"/>
            </w:pPr>
            <w:r>
              <w:rPr>
                <w:sz w:val="18"/>
              </w:rPr>
              <w:t>TenantSettingsPage</w:t>
            </w:r>
          </w:p>
        </w:tc>
        <w:tc>
          <w:tcPr>
            <w:tcW w:type="dxa" w:w="7416"/>
          </w:tcPr>
          <w:p>
            <w:pPr>
              <w:spacing w:after="60" w:before="40" w:line="240" w:lineRule="auto"/>
            </w:pPr>
            <w:r>
              <w:rPr>
                <w:sz w:val="18"/>
              </w:rPr>
              <w:t>Route /t/{code}/admin/settings; trusted tenant context, permission projection, draft state keyed by tenant/user and conflict handling.</w:t>
            </w:r>
          </w:p>
        </w:tc>
      </w:tr>
      <w:tr>
        <w:trPr>
          <w:cantSplit/>
        </w:trPr>
        <w:tc>
          <w:tcPr>
            <w:tcW w:type="dxa" w:w="2448"/>
          </w:tcPr>
          <w:p>
            <w:pPr>
              <w:spacing w:after="60" w:before="40" w:line="240" w:lineRule="auto"/>
            </w:pPr>
            <w:r>
              <w:rPr>
                <w:sz w:val="18"/>
              </w:rPr>
              <w:t>TenantSettingsHeader</w:t>
            </w:r>
          </w:p>
        </w:tc>
        <w:tc>
          <w:tcPr>
            <w:tcW w:type="dxa" w:w="7416"/>
          </w:tcPr>
          <w:p>
            <w:pPr>
              <w:spacing w:after="60" w:before="40" w:line="240" w:lineRule="auto"/>
            </w:pPr>
            <w:r>
              <w:rPr>
                <w:sz w:val="18"/>
              </w:rPr>
              <w:t>Immutable tenant code, display name, lifecycle, current generation, explicit save/operation status.</w:t>
            </w:r>
          </w:p>
        </w:tc>
      </w:tr>
      <w:tr>
        <w:trPr>
          <w:cantSplit/>
        </w:trPr>
        <w:tc>
          <w:tcPr>
            <w:tcW w:type="dxa" w:w="2448"/>
          </w:tcPr>
          <w:p>
            <w:pPr>
              <w:spacing w:after="60" w:before="40" w:line="240" w:lineRule="auto"/>
            </w:pPr>
            <w:r>
              <w:rPr>
                <w:sz w:val="18"/>
              </w:rPr>
              <w:t>EngineCatalogue</w:t>
            </w:r>
          </w:p>
        </w:tc>
        <w:tc>
          <w:tcPr>
            <w:tcW w:type="dxa" w:w="7416"/>
          </w:tcPr>
          <w:p>
            <w:pPr>
              <w:spacing w:after="60" w:before="40" w:line="240" w:lineRule="auto"/>
            </w:pPr>
            <w:r>
              <w:rPr>
                <w:sz w:val="18"/>
              </w:rPr>
              <w:t>One registry view; search by ID/name, On/Off/attention filters, pagination, permitted labels and selected engine. Count derives from registry.</w:t>
            </w:r>
          </w:p>
        </w:tc>
      </w:tr>
      <w:tr>
        <w:trPr>
          <w:cantSplit/>
        </w:trPr>
        <w:tc>
          <w:tcPr>
            <w:tcW w:type="dxa" w:w="2448"/>
          </w:tcPr>
          <w:p>
            <w:pPr>
              <w:spacing w:after="60" w:before="40" w:line="240" w:lineRule="auto"/>
            </w:pPr>
            <w:r>
              <w:rPr>
                <w:sz w:val="18"/>
              </w:rPr>
              <w:t>EngineSettingsPanel</w:t>
            </w:r>
          </w:p>
        </w:tc>
        <w:tc>
          <w:tcPr>
            <w:tcW w:type="dxa" w:w="7416"/>
          </w:tcPr>
          <w:p>
            <w:pPr>
              <w:spacing w:after="60" w:before="40" w:line="240" w:lineRule="auto"/>
            </w:pPr>
            <w:r>
              <w:rPr>
                <w:sz w:val="18"/>
              </w:rPr>
              <w:t>Typed schema form with persistent labels, desired state, effective state, health, dependencies, config fields and own errors.</w:t>
            </w:r>
          </w:p>
        </w:tc>
      </w:tr>
      <w:tr>
        <w:trPr>
          <w:cantSplit/>
        </w:trPr>
        <w:tc>
          <w:tcPr>
            <w:tcW w:type="dxa" w:w="2448"/>
          </w:tcPr>
          <w:p>
            <w:pPr>
              <w:spacing w:after="60" w:before="40" w:line="240" w:lineRule="auto"/>
            </w:pPr>
            <w:r>
              <w:rPr>
                <w:sz w:val="18"/>
              </w:rPr>
              <w:t>DependencyImpactPanel</w:t>
            </w:r>
          </w:p>
        </w:tc>
        <w:tc>
          <w:tcPr>
            <w:tcW w:type="dxa" w:w="7416"/>
          </w:tcPr>
          <w:p>
            <w:pPr>
              <w:spacing w:after="60" w:before="40" w:line="240" w:lineRule="auto"/>
            </w:pPr>
            <w:r>
              <w:rPr>
                <w:sz w:val="18"/>
              </w:rPr>
              <w:t>Required/optional/conditional edges and blockers; show a reviewed explicit dependent change, never a silent cascade.</w:t>
            </w:r>
          </w:p>
        </w:tc>
      </w:tr>
      <w:tr>
        <w:trPr>
          <w:cantSplit/>
        </w:trPr>
        <w:tc>
          <w:tcPr>
            <w:tcW w:type="dxa" w:w="2448"/>
          </w:tcPr>
          <w:p>
            <w:pPr>
              <w:spacing w:after="60" w:before="40" w:line="240" w:lineRule="auto"/>
            </w:pPr>
            <w:r>
              <w:rPr>
                <w:sz w:val="18"/>
              </w:rPr>
              <w:t>ReviewChangesDialog</w:t>
            </w:r>
          </w:p>
        </w:tc>
        <w:tc>
          <w:tcPr>
            <w:tcW w:type="dxa" w:w="7416"/>
          </w:tcPr>
          <w:p>
            <w:pPr>
              <w:spacing w:after="60" w:before="40" w:line="240" w:lineRule="auto"/>
            </w:pPr>
            <w:r>
              <w:rPr>
                <w:sz w:val="18"/>
              </w:rPr>
              <w:t>Server plan diff, target tenant, impacts, redacted secrets, required audit reason and Apply/Back.</w:t>
            </w:r>
          </w:p>
        </w:tc>
      </w:tr>
      <w:tr>
        <w:trPr>
          <w:cantSplit/>
        </w:trPr>
        <w:tc>
          <w:tcPr>
            <w:tcW w:type="dxa" w:w="2448"/>
          </w:tcPr>
          <w:p>
            <w:pPr>
              <w:spacing w:after="60" w:before="40" w:line="240" w:lineRule="auto"/>
            </w:pPr>
            <w:r>
              <w:rPr>
                <w:sz w:val="18"/>
              </w:rPr>
              <w:t>SettingsOperationPanel</w:t>
            </w:r>
          </w:p>
        </w:tc>
        <w:tc>
          <w:tcPr>
            <w:tcW w:type="dxa" w:w="7416"/>
          </w:tcPr>
          <w:p>
            <w:pPr>
              <w:spacing w:after="60" w:before="40" w:line="240" w:lineRule="auto"/>
            </w:pPr>
            <w:r>
              <w:rPr>
                <w:sz w:val="18"/>
              </w:rPr>
              <w:t>Committed generation, Starting/Stopping/Blocked steps, last update and safe failure guidance. Show retry only when registered and safe.</w:t>
            </w:r>
          </w:p>
        </w:tc>
      </w:tr>
      <w:tr>
        <w:trPr>
          <w:cantSplit/>
        </w:trPr>
        <w:tc>
          <w:tcPr>
            <w:tcW w:type="dxa" w:w="2448"/>
          </w:tcPr>
          <w:p>
            <w:pPr>
              <w:spacing w:after="60" w:before="40" w:line="240" w:lineRule="auto"/>
            </w:pPr>
            <w:r>
              <w:rPr>
                <w:sz w:val="18"/>
              </w:rPr>
              <w:t>EffectiveAccessPreview</w:t>
            </w:r>
          </w:p>
        </w:tc>
        <w:tc>
          <w:tcPr>
            <w:tcW w:type="dxa" w:w="7416"/>
          </w:tcPr>
          <w:p>
            <w:pPr>
              <w:spacing w:after="60" w:before="40" w:line="240" w:lineRule="auto"/>
            </w:pPr>
            <w:r>
              <w:rPr>
                <w:sz w:val="18"/>
              </w:rPr>
              <w:t>Existing uam.simulate scope; preview as permitted subject without impersonating or granting authority. Keep preview separate from actual settings permissions.</w:t>
            </w:r>
          </w:p>
        </w:tc>
      </w:tr>
    </w:tbl>
    <w:p>
      <w:pPr>
        <w:pStyle w:val="Tenant_Heading2"/>
      </w:pPr>
      <w:r>
        <w:t>UI interaction requirements</w:t>
      </w:r>
    </w:p>
    <w:p>
      <w:r>
        <w:t>Tenant tabs are Overview, Engines, Access and roles, Connections and Activity; each tab is independently permission-gated. Selecting an engine does not save it. Switching engines preserves the current draft and shows unsaved markers. The save area displays engine-change count, Discard and Review changes; both actions are disabled when nothing changed. Applying a server plan requires a meaningful reason. Review is not a business approval substitute.</w:t>
      </w:r>
    </w:p>
    <w:p>
      <w:r>
        <w:t>Readonly viewers see authorised values but no edit/switch actions. A field hidden for sensitivity is not rendered or included in the response; a visible read-only field explains its inherited origin or required permission. Foundations show a locked On switch plus a visible explanation. Engine-specific settings remain editable while Off when the user has the relevant grant.</w:t>
      </w:r>
    </w:p>
    <w:p>
      <w:pPr>
        <w:pStyle w:val="Tenant_Heading2"/>
      </w:pPr>
      <w:r>
        <w:t>Unsaved and asynchronous work</w:t>
      </w:r>
    </w:p>
    <w:p>
      <w:r>
        <w:t>Guard tenant switching, in-app navigation and browser unload when a draft is dirty; preserve it only in approved user-private operator staging with retention. Browser local storage must not hold secrets or customer-sensitive configuration. After apply, poll/subscribe with operationId. Cancel display polling on navigation; do not cancel or re-submit the committed operation implicitly. Discard re-reads the current authoritative version and does not reverse an operation already applied.</w:t>
      </w:r>
    </w:p>
    <w:p>
      <w:pPr>
        <w:pStyle w:val="Tenant_Heading2"/>
      </w:pPr>
      <w:r>
        <w:t>Visual and accessibility behaviour</w:t>
      </w:r>
    </w:p>
    <w:p>
      <w:r>
        <w:t>Use approved free Radzen Software-based Orca light/dark tokens and existing components. Use text plus symbols for status, persistent labels and units, keyboard-operable switches, visible focus, linked error summaries and live status announcements. Dialogs trap/restore focus and support Escape before submission. Stack catalogue above detail on narrow screens; test 320–1440 px and 200% zoom. Do not use colour alone or hide essential actions on hover.</w:t>
      </w:r>
    </w:p>
    <w:p>
      <w:r>
        <w:br w:type="page"/>
      </w:r>
    </w:p>
    <w:p>
      <w:bookmarkStart w:id="92" w:name="orca_ch_092"/>
      <w:pPr>
        <w:pStyle w:val="Tenant_Heading1"/>
      </w:pPr>
      <w:r>
        <w:t>Configuration policy for all engine field catalogues</w:t>
      </w:r>
      <w:bookmarkEnd w:id="92"/>
    </w:p>
    <w:p>
      <w:r>
        <w:t>The settings section in each of the 23 owning engine chapters defines its proposed field contract. The common envelope and server gates above apply to every field. Each page gives stable field names, types, default/origin and validation. Fields refer to existing versioned engine-owned records where possible; tenant settings must not duplicate full playbooks, ticket workflows or permission matrices into a second policy master.</w:t>
      </w:r>
    </w:p>
    <w:tbl>
      <w:tblPr>
        <w:tblStyle w:val="Tenant_LightShading-Accent1"/>
        <w:tblW w:type="auto" w:w="0"/>
        <w:tblLayout w:type="fixed"/>
        <w:tblLook w:firstColumn="1" w:firstRow="1" w:lastColumn="0" w:lastRow="0" w:noHBand="0" w:noVBand="1" w:val="04A0"/>
      </w:tblPr>
      <w:tblGrid>
        <w:gridCol w:w="2088"/>
        <w:gridCol w:w="7776"/>
      </w:tblGrid>
      <w:tr>
        <w:trPr>
          <w:tblHeader/>
        </w:trPr>
        <w:tc>
          <w:tcPr>
            <w:tcW w:type="dxa" w:w="2088"/>
          </w:tcPr>
          <w:p>
            <w:r>
              <w:t>Notation</w:t>
            </w:r>
          </w:p>
        </w:tc>
        <w:tc>
          <w:tcPr>
            <w:tcW w:type="dxa" w:w="7776"/>
          </w:tcPr>
          <w:p>
            <w:r>
              <w:t>Implementation meaning</w:t>
            </w:r>
          </w:p>
        </w:tc>
      </w:tr>
      <w:tr>
        <w:trPr>
          <w:cantSplit/>
        </w:trPr>
        <w:tc>
          <w:tcPr>
            <w:tcW w:type="dxa" w:w="2088"/>
          </w:tcPr>
          <w:p>
            <w:pPr>
              <w:spacing w:after="60" w:before="40" w:line="240" w:lineRule="auto"/>
            </w:pPr>
            <w:r>
              <w:rPr>
                <w:sz w:val="18"/>
              </w:rPr>
              <w:t>Ref / Ref[]</w:t>
            </w:r>
          </w:p>
        </w:tc>
        <w:tc>
          <w:tcPr>
            <w:tcW w:type="dxa" w:w="7776"/>
          </w:tcPr>
          <w:p>
            <w:pPr>
              <w:spacing w:after="60" w:before="40" w:line="240" w:lineRule="auto"/>
            </w:pPr>
            <w:r>
              <w:rPr>
                <w:sz w:val="18"/>
              </w:rPr>
              <w:t>Stable references to versioned records resolved by the owning engine under current tenant authority. No arbitrary endpoint or object supplied by the browser.</w:t>
            </w:r>
          </w:p>
        </w:tc>
      </w:tr>
      <w:tr>
        <w:trPr>
          <w:cantSplit/>
        </w:trPr>
        <w:tc>
          <w:tcPr>
            <w:tcW w:type="dxa" w:w="2088"/>
          </w:tcPr>
          <w:p>
            <w:pPr>
              <w:spacing w:after="60" w:before="40" w:line="240" w:lineRule="auto"/>
            </w:pPr>
            <w:r>
              <w:rPr>
                <w:sz w:val="18"/>
              </w:rPr>
              <w:t>Scope[]</w:t>
            </w:r>
          </w:p>
        </w:tc>
        <w:tc>
          <w:tcPr>
            <w:tcW w:type="dxa" w:w="7776"/>
          </w:tcPr>
          <w:p>
            <w:pPr>
              <w:spacing w:after="60" w:before="40" w:line="240" w:lineRule="auto"/>
            </w:pPr>
            <w:r>
              <w:rPr>
                <w:sz w:val="18"/>
              </w:rPr>
              <w:t>Approved provider/resource IDs. Resolve and validate actual tenant/provider ownership, consent and allowlisted endpoint; value appearance is insufficient.</w:t>
            </w:r>
          </w:p>
        </w:tc>
      </w:tr>
      <w:tr>
        <w:trPr>
          <w:cantSplit/>
        </w:trPr>
        <w:tc>
          <w:tcPr>
            <w:tcW w:type="dxa" w:w="2088"/>
          </w:tcPr>
          <w:p>
            <w:pPr>
              <w:spacing w:after="60" w:before="40" w:line="240" w:lineRule="auto"/>
            </w:pPr>
            <w:r>
              <w:rPr>
                <w:sz w:val="18"/>
              </w:rPr>
              <w:t>PolicyRef</w:t>
            </w:r>
          </w:p>
        </w:tc>
        <w:tc>
          <w:tcPr>
            <w:tcW w:type="dxa" w:w="7776"/>
          </w:tcPr>
          <w:p>
            <w:pPr>
              <w:spacing w:after="60" w:before="40" w:line="240" w:lineRule="auto"/>
            </w:pPr>
            <w:r>
              <w:rPr>
                <w:sz w:val="18"/>
              </w:rPr>
              <w:t>Existing approved policy reference; required when the related capability is enabled. Missing policy blocks activation/action.</w:t>
            </w:r>
          </w:p>
        </w:tc>
      </w:tr>
      <w:tr>
        <w:trPr>
          <w:cantSplit/>
        </w:trPr>
        <w:tc>
          <w:tcPr>
            <w:tcW w:type="dxa" w:w="2088"/>
          </w:tcPr>
          <w:p>
            <w:pPr>
              <w:spacing w:after="60" w:before="40" w:line="240" w:lineRule="auto"/>
            </w:pPr>
            <w:r>
              <w:rPr>
                <w:sz w:val="18"/>
              </w:rPr>
              <w:t>Default unset</w:t>
            </w:r>
          </w:p>
        </w:tc>
        <w:tc>
          <w:tcPr>
            <w:tcW w:type="dxa" w:w="7776"/>
          </w:tcPr>
          <w:p>
            <w:pPr>
              <w:spacing w:after="60" w:before="40" w:line="240" w:lineRule="auto"/>
            </w:pPr>
            <w:r>
              <w:rPr>
                <w:sz w:val="18"/>
              </w:rPr>
              <w:t>No invented production value. The field must be supplied where required before engine activation.</w:t>
            </w:r>
          </w:p>
        </w:tc>
      </w:tr>
      <w:tr>
        <w:trPr>
          <w:cantSplit/>
        </w:trPr>
        <w:tc>
          <w:tcPr>
            <w:tcW w:type="dxa" w:w="2088"/>
          </w:tcPr>
          <w:p>
            <w:pPr>
              <w:spacing w:after="60" w:before="40" w:line="240" w:lineRule="auto"/>
            </w:pPr>
            <w:r>
              <w:rPr>
                <w:sz w:val="18"/>
              </w:rPr>
              <w:t>Default inherit</w:t>
            </w:r>
          </w:p>
        </w:tc>
        <w:tc>
          <w:tcPr>
            <w:tcW w:type="dxa" w:w="7776"/>
          </w:tcPr>
          <w:p>
            <w:pPr>
              <w:spacing w:after="60" w:before="40" w:line="240" w:lineRule="auto"/>
            </w:pPr>
            <w:r>
              <w:rPr>
                <w:sz w:val="18"/>
              </w:rPr>
              <w:t>Resolve from trusted platform policy; record origin and policy revision. A tenant override must remain within the permitted ceiling.</w:t>
            </w:r>
          </w:p>
        </w:tc>
      </w:tr>
      <w:tr>
        <w:trPr>
          <w:cantSplit/>
        </w:trPr>
        <w:tc>
          <w:tcPr>
            <w:tcW w:type="dxa" w:w="2088"/>
          </w:tcPr>
          <w:p>
            <w:pPr>
              <w:spacing w:after="60" w:before="40" w:line="240" w:lineRule="auto"/>
            </w:pPr>
            <w:r>
              <w:rPr>
                <w:sz w:val="18"/>
              </w:rPr>
              <w:t>Feature Off</w:t>
            </w:r>
          </w:p>
        </w:tc>
        <w:tc>
          <w:tcPr>
            <w:tcW w:type="dxa" w:w="7776"/>
          </w:tcPr>
          <w:p>
            <w:pPr>
              <w:spacing w:after="60" w:before="40" w:line="240" w:lineRule="auto"/>
            </w:pPr>
            <w:r>
              <w:rPr>
                <w:sz w:val="18"/>
              </w:rPr>
              <w:t>Capability defaults Off even if its parent engine is On. Enabling requires its separate schema, scope and permission checks.</w:t>
            </w:r>
          </w:p>
        </w:tc>
      </w:tr>
      <w:tr>
        <w:trPr>
          <w:cantSplit/>
        </w:trPr>
        <w:tc>
          <w:tcPr>
            <w:tcW w:type="dxa" w:w="2088"/>
          </w:tcPr>
          <w:p>
            <w:pPr>
              <w:spacing w:after="60" w:before="40" w:line="240" w:lineRule="auto"/>
            </w:pPr>
            <w:r>
              <w:rPr>
                <w:sz w:val="18"/>
              </w:rPr>
              <w:t>Field permissions</w:t>
            </w:r>
          </w:p>
        </w:tc>
        <w:tc>
          <w:tcPr>
            <w:tcW w:type="dxa" w:w="7776"/>
          </w:tcPr>
          <w:p>
            <w:pPr>
              <w:spacing w:after="60" w:before="40" w:line="240" w:lineRule="auto"/>
            </w:pPr>
            <w:r>
              <w:rPr>
                <w:sz w:val="18"/>
              </w:rPr>
              <w:t>All edits require tenant management scope where applicable and a registered owning-engine grant. module.manage covers engine state, not arbitrary source credentials or business content.</w:t>
            </w:r>
          </w:p>
        </w:tc>
      </w:tr>
    </w:tbl>
    <w:p>
      <w:pPr>
        <w:pStyle w:val="Tenant_Heading2"/>
      </w:pPr>
      <w:r>
        <w:t>Extension catalogue gaps</w:t>
      </w:r>
    </w:p>
    <w:p>
      <w:r>
        <w:t>Where the current catalogue lacks a narrow settings permission (for example a general tenant field policy for M07/M17/M18), this document proposes binding the field group to tenant.manage plus the applicable existing engine manage/configure permission. If no suitable permission exists, introduce a reviewed canonical permission through M02 and seed roles explicitly. Until admitted, deny the edit. Do not invent an unregistered engine.configure wildcard or use cost.read/incident.read as write authority.</w:t>
      </w:r>
    </w:p>
    <w:p>
      <w:pPr>
        <w:pStyle w:val="Tenant_Heading2"/>
      </w:pPr>
      <w:r>
        <w:t>Shared job configuration</w:t>
      </w:r>
    </w:p>
    <w:p>
      <w:r>
        <w:t>For engines with collectors/jobs, use schedule.enabled, schedule.kind (Interval or Calendar), schedule.intervalSeconds or versioned calendarRef, schedule.timeZone, concurrencyPolicyRef and retryPolicyRef. Require exactly one schedule mode, interval within the approved provider/capacity policy, valid time zone and bounded catch-up. Default inherits trusted policy rather than the mock-up’s sample interval. Turning the engine Off overrides its collection schedule; it does not delete it.</w:t>
      </w:r>
    </w:p>
    <w:p>
      <w:pPr>
        <w:pStyle w:val="Tenant_Heading2"/>
      </w:pPr>
      <w:r>
        <w:t>Field update modes</w:t>
      </w:r>
    </w:p>
    <w:p>
      <w:r>
        <w:t>Policy references are pinned by version in an effective configuration. “Latest” may be used only as an explicit reviewed resolution mode that produces a new audited effective revision. Scope or credential changes require connection revalidation and may require stop/restart. Display-only preferences may hot-apply; permission, retention and execution policy changes always invalidate relevant gates. Settings migration preserves all unrelated fields and prior policy history.</w:t>
      </w:r>
    </w:p>
    <w:p>
      <w:r>
        <w:br w:type="page"/>
      </w:r>
    </w:p>
    <w:p>
      <w:bookmarkStart w:id="93" w:name="orca_ch_093"/>
      <w:pPr>
        <w:pStyle w:val="Tenant_Heading1"/>
      </w:pPr>
      <w:r>
        <w:t>Operational invariants and secure integration</w:t>
      </w:r>
      <w:bookmarkEnd w:id="93"/>
    </w:p>
    <w:p>
      <w:r>
        <w:rPr>
          <w:b/>
        </w:rPr>
        <w:t xml:space="preserve">INV 01  </w:t>
      </w:r>
      <w:r>
        <w:t>A customer-side settings-looking field is advisory data only. It cannot activate an engine, change permissions, approve a command, rewrite a source checkpoint or delete operator audit.</w:t>
      </w:r>
    </w:p>
    <w:p>
      <w:r>
        <w:rPr>
          <w:b/>
        </w:rPr>
        <w:t xml:space="preserve">INV 02  </w:t>
      </w:r>
      <w:r>
        <w:t>Every configuration read/write resolves the trusted tenant and the request-derived identity. Tenant, subject, environment, role list, database URI and runtime state supplied by the browser are untrusted inputs.</w:t>
      </w:r>
    </w:p>
    <w:p>
      <w:r>
        <w:rPr>
          <w:b/>
        </w:rPr>
        <w:t xml:space="preserve">INV 03  </w:t>
      </w:r>
      <w:r>
        <w:t>All AI paths, including invisible extraction/indexing components, route through M10 policy and M11 reservation. An Off budget or missing policy denies calls; no service registration bypass.</w:t>
      </w:r>
    </w:p>
    <w:p>
      <w:r>
        <w:rPr>
          <w:b/>
        </w:rPr>
        <w:t xml:space="preserve">INV 04  </w:t>
      </w:r>
      <w:r>
        <w:t>Key Vault reference editing validates allowed vault/secret identity and tenant/environment scope. Never log tokens, passwords, full connection strings, message bodies or raw prompt text in settings audit.</w:t>
      </w:r>
    </w:p>
    <w:p>
      <w:r>
        <w:rPr>
          <w:b/>
        </w:rPr>
        <w:t xml:space="preserve">INV 05  </w:t>
      </w:r>
      <w:r>
        <w:t>A connection test executes an allowlisted typed provider probe with bounded timeout/response size. Block local/metadata endpoints, redirects outside approved origin and arbitrary URL execution. Probe identity is least privilege.</w:t>
      </w:r>
    </w:p>
    <w:p>
      <w:r>
        <w:rPr>
          <w:b/>
        </w:rPr>
        <w:t xml:space="preserve">INV 06  </w:t>
      </w:r>
      <w:r>
        <w:t>Reusing a shared provider instance never shares a mutable TenantContext, Mongo session, Qdrant prefix or document identity across tenants. Clients are cached by validated connection identity, not per UI circuit.</w:t>
      </w:r>
    </w:p>
    <w:p>
      <w:r>
        <w:rPr>
          <w:b/>
        </w:rPr>
        <w:t xml:space="preserve">INV 07  </w:t>
      </w:r>
      <w:r>
        <w:t>Untrusted labels/notes/rule descriptions are encoded in HTML and logs. Do not allow executable templates or arbitrary JavaScript through schema metadata.</w:t>
      </w:r>
    </w:p>
    <w:p>
      <w:r>
        <w:rPr>
          <w:b/>
        </w:rPr>
        <w:t xml:space="preserve">INV 08  </w:t>
      </w:r>
      <w:r>
        <w:t>Settings restore or rollback creates a new reviewed revision. It does not erase history or restore expired approvals. Schema downgrade requires explicit compatibility checks and cannot drop unknown fields silently.</w:t>
      </w:r>
    </w:p>
    <w:p>
      <w:pPr>
        <w:pStyle w:val="Tenant_Heading2"/>
      </w:pPr>
      <w:r>
        <w:t>Physical and logical shutdown</w:t>
      </w:r>
    </w:p>
    <w:p>
      <w:r>
        <w:t>A module toggle controls tenant capability, not server process lifetime. The coordinator may release a tenant-specific lazy document container after safe drain, but must preserve Blob/Qdrant custody and never sweep another tenant’s namespace. Retained last-known data is not automatically available through ordinary reporting after Off; only the existing authorised audit/recovery/offboarding paths remain.</w:t>
      </w:r>
    </w:p>
    <w:p>
      <w:pPr>
        <w:pStyle w:val="Tenant_Heading2"/>
      </w:pPr>
      <w:r>
        <w:t>Policy unavailable or trust failure</w:t>
      </w:r>
    </w:p>
    <w:p>
      <w:r>
        <w:t>Fail closed for mutations, activation and response when authoritative UAM, settings, store markers or trust are unavailable. If an existing approved stale read path is allowed, label it explicitly and require a trustworthy current access decision. Quarantine remains under the foundation recovery contract; a module administrator cannot clear it by switching engines Off and On.</w:t>
      </w:r>
    </w:p>
    <w:p>
      <w:r>
        <w:br w:type="page"/>
      </w:r>
    </w:p>
    <w:p>
      <w:bookmarkStart w:id="94" w:name="orca_ch_094"/>
      <w:pPr>
        <w:pStyle w:val="Tenant_Heading1"/>
      </w:pPr>
      <w:r>
        <w:t>Observability audit and support runbook</w:t>
      </w:r>
      <w:bookmarkEnd w:id="94"/>
    </w:p>
    <w:tbl>
      <w:tblPr>
        <w:tblStyle w:val="Tenant_LightShading-Accent1"/>
        <w:tblW w:type="auto" w:w="0"/>
        <w:tblLayout w:type="fixed"/>
        <w:tblLook w:firstColumn="1" w:firstRow="1" w:lastColumn="0" w:lastRow="0" w:noHBand="0" w:noVBand="1" w:val="04A0"/>
      </w:tblPr>
      <w:tblGrid>
        <w:gridCol w:w="2304"/>
        <w:gridCol w:w="7560"/>
      </w:tblGrid>
      <w:tr>
        <w:trPr>
          <w:tblHeader/>
        </w:trPr>
        <w:tc>
          <w:tcPr>
            <w:tcW w:type="dxa" w:w="2304"/>
          </w:tcPr>
          <w:p>
            <w:r>
              <w:t>Signal</w:t>
            </w:r>
          </w:p>
        </w:tc>
        <w:tc>
          <w:tcPr>
            <w:tcW w:type="dxa" w:w="7560"/>
          </w:tcPr>
          <w:p>
            <w:r>
              <w:t>Required telemetry and use</w:t>
            </w:r>
          </w:p>
        </w:tc>
      </w:tr>
      <w:tr>
        <w:trPr>
          <w:cantSplit/>
        </w:trPr>
        <w:tc>
          <w:tcPr>
            <w:tcW w:type="dxa" w:w="2304"/>
          </w:tcPr>
          <w:p>
            <w:pPr>
              <w:spacing w:after="60" w:before="40" w:line="240" w:lineRule="auto"/>
            </w:pPr>
            <w:r>
              <w:rPr>
                <w:sz w:val="18"/>
              </w:rPr>
              <w:t>Configuration changes</w:t>
            </w:r>
          </w:p>
        </w:tc>
        <w:tc>
          <w:tcPr>
            <w:tcW w:type="dxa" w:w="7560"/>
          </w:tcPr>
          <w:p>
            <w:pPr>
              <w:spacing w:after="60" w:before="40" w:line="240" w:lineRule="auto"/>
            </w:pPr>
            <w:r>
              <w:rPr>
                <w:sz w:val="18"/>
              </w:rPr>
              <w:t>Tenant/engine IDs, actor subject class, operation/plan IDs, old/new revisions, masked diff, reason, result and correlation. Secret values never appear.</w:t>
            </w:r>
          </w:p>
        </w:tc>
      </w:tr>
      <w:tr>
        <w:trPr>
          <w:cantSplit/>
        </w:trPr>
        <w:tc>
          <w:tcPr>
            <w:tcW w:type="dxa" w:w="2304"/>
          </w:tcPr>
          <w:p>
            <w:pPr>
              <w:spacing w:after="60" w:before="40" w:line="240" w:lineRule="auto"/>
            </w:pPr>
            <w:r>
              <w:rPr>
                <w:sz w:val="18"/>
              </w:rPr>
              <w:t>Activation/shutdown</w:t>
            </w:r>
          </w:p>
        </w:tc>
        <w:tc>
          <w:tcPr>
            <w:tcW w:type="dxa" w:w="7560"/>
          </w:tcPr>
          <w:p>
            <w:pPr>
              <w:spacing w:after="60" w:before="40" w:line="240" w:lineRule="auto"/>
            </w:pPr>
            <w:r>
              <w:rPr>
                <w:sz w:val="18"/>
              </w:rPr>
              <w:t>Plan committedAt, participant start/stop checkpoints, active work, fencing token, observed generation, duration and blocker.</w:t>
            </w:r>
          </w:p>
        </w:tc>
      </w:tr>
      <w:tr>
        <w:trPr>
          <w:cantSplit/>
        </w:trPr>
        <w:tc>
          <w:tcPr>
            <w:tcW w:type="dxa" w:w="2304"/>
          </w:tcPr>
          <w:p>
            <w:pPr>
              <w:spacing w:after="60" w:before="40" w:line="240" w:lineRule="auto"/>
            </w:pPr>
            <w:r>
              <w:rPr>
                <w:sz w:val="18"/>
              </w:rPr>
              <w:t>Authorisation</w:t>
            </w:r>
          </w:p>
        </w:tc>
        <w:tc>
          <w:tcPr>
            <w:tcW w:type="dxa" w:w="7560"/>
          </w:tcPr>
          <w:p>
            <w:pPr>
              <w:spacing w:after="60" w:before="40" w:line="240" w:lineRule="auto"/>
            </w:pPr>
            <w:r>
              <w:rPr>
                <w:sz w:val="18"/>
              </w:rPr>
              <w:t>Denied action/code, gate versions and scope-safe reference. Do not emit business record content or unrestricted role dumps into broad logs.</w:t>
            </w:r>
          </w:p>
        </w:tc>
      </w:tr>
      <w:tr>
        <w:trPr>
          <w:cantSplit/>
        </w:trPr>
        <w:tc>
          <w:tcPr>
            <w:tcW w:type="dxa" w:w="2304"/>
          </w:tcPr>
          <w:p>
            <w:pPr>
              <w:spacing w:after="60" w:before="40" w:line="240" w:lineRule="auto"/>
            </w:pPr>
            <w:r>
              <w:rPr>
                <w:sz w:val="18"/>
              </w:rPr>
              <w:t>Outbox/worker health</w:t>
            </w:r>
          </w:p>
        </w:tc>
        <w:tc>
          <w:tcPr>
            <w:tcW w:type="dxa" w:w="7560"/>
          </w:tcPr>
          <w:p>
            <w:pPr>
              <w:spacing w:after="60" w:before="40" w:line="240" w:lineRule="auto"/>
            </w:pPr>
            <w:r>
              <w:rPr>
                <w:sz w:val="18"/>
              </w:rPr>
              <w:t>Oldest pending age, retries, lease loss, dead letters, unknown outcomes, stuck Stopping/Starting and unapplied generation gaps.</w:t>
            </w:r>
          </w:p>
        </w:tc>
      </w:tr>
      <w:tr>
        <w:trPr>
          <w:cantSplit/>
        </w:trPr>
        <w:tc>
          <w:tcPr>
            <w:tcW w:type="dxa" w:w="2304"/>
          </w:tcPr>
          <w:p>
            <w:pPr>
              <w:spacing w:after="60" w:before="40" w:line="240" w:lineRule="auto"/>
            </w:pPr>
            <w:r>
              <w:rPr>
                <w:sz w:val="18"/>
              </w:rPr>
              <w:t>Connector status</w:t>
            </w:r>
          </w:p>
        </w:tc>
        <w:tc>
          <w:tcPr>
            <w:tcW w:type="dxa" w:w="7560"/>
          </w:tcPr>
          <w:p>
            <w:pPr>
              <w:spacing w:after="60" w:before="40" w:line="240" w:lineRule="auto"/>
            </w:pPr>
            <w:r>
              <w:rPr>
                <w:sz w:val="18"/>
              </w:rPr>
              <w:t>Consent/token expiry metadata, source as-of, last-success cursor, throttle/delta lag and safe provider error codes.</w:t>
            </w:r>
          </w:p>
        </w:tc>
      </w:tr>
      <w:tr>
        <w:trPr>
          <w:cantSplit/>
        </w:trPr>
        <w:tc>
          <w:tcPr>
            <w:tcW w:type="dxa" w:w="2304"/>
          </w:tcPr>
          <w:p>
            <w:pPr>
              <w:spacing w:after="60" w:before="40" w:line="240" w:lineRule="auto"/>
            </w:pPr>
            <w:r>
              <w:rPr>
                <w:sz w:val="18"/>
              </w:rPr>
              <w:t>Navigation consistency</w:t>
            </w:r>
          </w:p>
        </w:tc>
        <w:tc>
          <w:tcPr>
            <w:tcW w:type="dxa" w:w="7560"/>
          </w:tcPr>
          <w:p>
            <w:pPr>
              <w:spacing w:after="60" w:before="40" w:line="240" w:lineRule="auto"/>
            </w:pPr>
            <w:r>
              <w:rPr>
                <w:sz w:val="18"/>
              </w:rPr>
              <w:t>Projection generation/version vector, invalidation lag and restricted-route denial. Alert on repeated stale allow attempts; server still denies them.</w:t>
            </w:r>
          </w:p>
        </w:tc>
      </w:tr>
      <w:tr>
        <w:trPr>
          <w:cantSplit/>
        </w:trPr>
        <w:tc>
          <w:tcPr>
            <w:tcW w:type="dxa" w:w="2304"/>
          </w:tcPr>
          <w:p>
            <w:pPr>
              <w:spacing w:after="60" w:before="40" w:line="240" w:lineRule="auto"/>
            </w:pPr>
            <w:r>
              <w:rPr>
                <w:sz w:val="18"/>
              </w:rPr>
              <w:t>Resource use</w:t>
            </w:r>
          </w:p>
        </w:tc>
        <w:tc>
          <w:tcPr>
            <w:tcW w:type="dxa" w:w="7560"/>
          </w:tcPr>
          <w:p>
            <w:pPr>
              <w:spacing w:after="60" w:before="40" w:line="240" w:lineRule="auto"/>
            </w:pPr>
            <w:r>
              <w:rPr>
                <w:sz w:val="18"/>
              </w:rPr>
              <w:t>Per-tenant worker concurrency, client pools, engine-container memory, probe limits and queue backlog. Measure noisy-neighbour behaviour.</w:t>
            </w:r>
          </w:p>
        </w:tc>
      </w:tr>
    </w:tbl>
    <w:p>
      <w:pPr>
        <w:pStyle w:val="Tenant_Heading2"/>
      </w:pPr>
      <w:r>
        <w:t>Support procedure for a stuck shutdown</w:t>
      </w:r>
    </w:p>
    <w:p>
      <w:r>
        <w:rPr>
          <w:b/>
        </w:rPr>
        <w:t xml:space="preserve">OPS 01  </w:t>
      </w:r>
      <w:r>
        <w:t>Open the authorised operation/status page and confirm tenant/environment, desired state, committed generation and actual participant version. Check whether the provider already accepted any action.</w:t>
      </w:r>
    </w:p>
    <w:p>
      <w:r>
        <w:rPr>
          <w:b/>
        </w:rPr>
        <w:t xml:space="preserve">OPS 02  </w:t>
      </w:r>
      <w:r>
        <w:t>Inspect durable step receipt, lease/fencing ownership, safe checkpoint and oldest outstanding work. Do not manually set runtime Off merely to clear an alert.</w:t>
      </w:r>
    </w:p>
    <w:p>
      <w:r>
        <w:rPr>
          <w:b/>
        </w:rPr>
        <w:t xml:space="preserve">OPS 03  </w:t>
      </w:r>
      <w:r>
        <w:t>If work can safely drain, continue registered reconciliation. If source outcome is unknown, use the approved Read identity to read back the effect before deciding retry or compensation.</w:t>
      </w:r>
    </w:p>
    <w:p>
      <w:r>
        <w:rPr>
          <w:b/>
        </w:rPr>
        <w:t xml:space="preserve">OPS 04  </w:t>
      </w:r>
      <w:r>
        <w:t>If policy/consent/approval changed, deny new dispatch. Preserve unresolved receipts and raise the existing recovery process. A new corrective settings plan is separate from provider compensation.</w:t>
      </w:r>
    </w:p>
    <w:p>
      <w:r>
        <w:rPr>
          <w:b/>
        </w:rPr>
        <w:t xml:space="preserve">OPS 05  </w:t>
      </w:r>
      <w:r>
        <w:t>Record the resolution, verification and current generation. Confirm no new ordinary jobs start, the relevant navigation is hidden and other tenants remain unaffected.</w:t>
      </w:r>
    </w:p>
    <w:p>
      <w:pPr>
        <w:pStyle w:val="Tenant_Heading2"/>
      </w:pPr>
      <w:r>
        <w:t>Audit and retention</w:t>
      </w:r>
    </w:p>
    <w:p>
      <w:r>
        <w:t>Use the registered immutable audit/export mechanism; database UI editing is not a supported correction. Configuration history, operation receipts, unresolved source effects and legal holds follow their own approved retention schedules. Expired plans can be cleaned up separately. Off does not reset AI usage, rotate evidence identities, purge customer data or erase actor attribution.</w:t>
      </w:r>
    </w:p>
    <w:p>
      <w:r>
        <w:br w:type="page"/>
      </w:r>
    </w:p>
    <w:p>
      <w:bookmarkStart w:id="95" w:name="orca_ch_095"/>
      <w:pPr>
        <w:pStyle w:val="Tenant_Heading1"/>
      </w:pPr>
      <w:r>
        <w:t>Migration from the prototype and deployed settings</w:t>
      </w:r>
      <w:bookmarkEnd w:id="95"/>
    </w:p>
    <w:p>
      <w:r>
        <w:t>The supplied prototype stores state in in-memory objects and treats healthy/degraded as enabled. Never import its sample tenant identities, fake connection references, role bypass or hard-coded version numbers into production configuration. The HTML is a UI reference, not an authoritative migration source.</w:t>
      </w:r>
    </w:p>
    <w:tbl>
      <w:tblPr>
        <w:tblStyle w:val="Tenant_LightShading-Accent1"/>
        <w:tblW w:type="auto" w:w="0"/>
        <w:tblLayout w:type="fixed"/>
        <w:tblLook w:firstColumn="1" w:firstRow="1" w:lastColumn="0" w:lastRow="0" w:noHBand="0" w:noVBand="1" w:val="04A0"/>
      </w:tblPr>
      <w:tblGrid>
        <w:gridCol w:w="2880"/>
        <w:gridCol w:w="6983"/>
      </w:tblGrid>
      <w:tr>
        <w:trPr>
          <w:tblHeader/>
        </w:trPr>
        <w:tc>
          <w:tcPr>
            <w:tcW w:type="dxa" w:w="2880"/>
          </w:tcPr>
          <w:p>
            <w:r>
              <w:t>Existing pattern</w:t>
            </w:r>
          </w:p>
        </w:tc>
        <w:tc>
          <w:tcPr>
            <w:tcW w:type="dxa" w:w="6984"/>
          </w:tcPr>
          <w:p>
            <w:r>
              <w:t>Required production replacement</w:t>
            </w:r>
          </w:p>
        </w:tc>
      </w:tr>
      <w:tr>
        <w:trPr>
          <w:cantSplit/>
        </w:trPr>
        <w:tc>
          <w:tcPr>
            <w:tcW w:type="dxa" w:w="2880"/>
          </w:tcPr>
          <w:p>
            <w:pPr>
              <w:spacing w:after="60" w:before="40" w:line="240" w:lineRule="auto"/>
            </w:pPr>
            <w:r>
              <w:rPr>
                <w:sz w:val="18"/>
              </w:rPr>
              <w:t>D().modules[m].state</w:t>
            </w:r>
          </w:p>
        </w:tc>
        <w:tc>
          <w:tcPr>
            <w:tcW w:type="dxa" w:w="6984"/>
          </w:tcPr>
          <w:p>
            <w:pPr>
              <w:spacing w:after="60" w:before="40" w:line="240" w:lineRule="auto"/>
            </w:pPr>
            <w:r>
              <w:rPr>
                <w:sz w:val="18"/>
              </w:rPr>
              <w:t>Migrate real persisted legacy state through an explicit audited mapping into desired state, runtime observation and health; no fake Healthy on enable.</w:t>
            </w:r>
          </w:p>
        </w:tc>
      </w:tr>
      <w:tr>
        <w:trPr>
          <w:cantSplit/>
        </w:trPr>
        <w:tc>
          <w:tcPr>
            <w:tcW w:type="dxa" w:w="2880"/>
          </w:tcPr>
          <w:p>
            <w:pPr>
              <w:spacing w:after="60" w:before="40" w:line="240" w:lineRule="auto"/>
            </w:pPr>
            <w:r>
              <w:rPr>
                <w:sz w:val="18"/>
              </w:rPr>
              <w:t>A.modToggle direct mutation</w:t>
            </w:r>
          </w:p>
        </w:tc>
        <w:tc>
          <w:tcPr>
            <w:tcW w:type="dxa" w:w="6984"/>
          </w:tcPr>
          <w:p>
            <w:pPr>
              <w:spacing w:after="60" w:before="40" w:line="240" w:lineRule="auto"/>
            </w:pPr>
            <w:r>
              <w:rPr>
                <w:sz w:val="18"/>
              </w:rPr>
              <w:t>Server-generated plan and atomic coordinator Apply; validate graph, configuration, consent and current grants.</w:t>
            </w:r>
          </w:p>
        </w:tc>
      </w:tr>
      <w:tr>
        <w:trPr>
          <w:cantSplit/>
        </w:trPr>
        <w:tc>
          <w:tcPr>
            <w:tcW w:type="dxa" w:w="2880"/>
          </w:tcPr>
          <w:p>
            <w:pPr>
              <w:spacing w:after="60" w:before="40" w:line="240" w:lineRule="auto"/>
            </w:pPr>
            <w:r>
              <w:rPr>
                <w:sz w:val="18"/>
              </w:rPr>
              <w:t>A.modOff replaces object/version</w:t>
            </w:r>
          </w:p>
        </w:tc>
        <w:tc>
          <w:tcPr>
            <w:tcW w:type="dxa" w:w="6984"/>
          </w:tcPr>
          <w:p>
            <w:pPr>
              <w:spacing w:after="60" w:before="40" w:line="240" w:lineRule="auto"/>
            </w:pPr>
            <w:r>
              <w:rPr>
                <w:sz w:val="18"/>
              </w:rPr>
              <w:t>Retain typed settings/version/checkpoints and append audit reason; Off is a state change, not object deletion.</w:t>
            </w:r>
          </w:p>
        </w:tc>
      </w:tr>
      <w:tr>
        <w:trPr>
          <w:cantSplit/>
        </w:trPr>
        <w:tc>
          <w:tcPr>
            <w:tcW w:type="dxa" w:w="2880"/>
          </w:tcPr>
          <w:p>
            <w:pPr>
              <w:spacing w:after="60" w:before="40" w:line="240" w:lineRule="auto"/>
            </w:pPr>
            <w:r>
              <w:rPr>
                <w:sz w:val="18"/>
              </w:rPr>
              <w:t>Disable purge dropdown</w:t>
            </w:r>
          </w:p>
        </w:tc>
        <w:tc>
          <w:tcPr>
            <w:tcW w:type="dxa" w:w="6984"/>
          </w:tcPr>
          <w:p>
            <w:pPr>
              <w:spacing w:after="60" w:before="40" w:line="240" w:lineRule="auto"/>
            </w:pPr>
            <w:r>
              <w:rPr>
                <w:sz w:val="18"/>
              </w:rPr>
              <w:t>Remove purge/read-only choice from the engine switch. Use separate existing custody/retention workflow.</w:t>
            </w:r>
          </w:p>
        </w:tc>
      </w:tr>
      <w:tr>
        <w:trPr>
          <w:cantSplit/>
        </w:trPr>
        <w:tc>
          <w:tcPr>
            <w:tcW w:type="dxa" w:w="2880"/>
          </w:tcPr>
          <w:p>
            <w:pPr>
              <w:spacing w:after="60" w:before="40" w:line="240" w:lineRule="auto"/>
            </w:pPr>
            <w:r>
              <w:rPr>
                <w:sz w:val="18"/>
              </w:rPr>
              <w:t>p.full early Allow / SoD exemption</w:t>
            </w:r>
          </w:p>
        </w:tc>
        <w:tc>
          <w:tcPr>
            <w:tcW w:type="dxa" w:w="6984"/>
          </w:tcPr>
          <w:p>
            <w:pPr>
              <w:spacing w:after="60" w:before="40" w:line="240" w:lineRule="auto"/>
            </w:pPr>
            <w:r>
              <w:rPr>
                <w:sz w:val="18"/>
              </w:rPr>
              <w:t>No production bypass. Realistic admin/restricted personas exercise subject denies and independent approval.</w:t>
            </w:r>
          </w:p>
        </w:tc>
      </w:tr>
      <w:tr>
        <w:trPr>
          <w:cantSplit/>
        </w:trPr>
        <w:tc>
          <w:tcPr>
            <w:tcW w:type="dxa" w:w="2880"/>
          </w:tcPr>
          <w:p>
            <w:pPr>
              <w:spacing w:after="60" w:before="40" w:line="240" w:lineRule="auto"/>
            </w:pPr>
            <w:r>
              <w:rPr>
                <w:sz w:val="18"/>
              </w:rPr>
              <w:t>NAV unfiltered / subs[0]</w:t>
            </w:r>
          </w:p>
        </w:tc>
        <w:tc>
          <w:tcPr>
            <w:tcW w:type="dxa" w:w="6984"/>
          </w:tcPr>
          <w:p>
            <w:pPr>
              <w:spacing w:after="60" w:before="40" w:line="240" w:lineRule="auto"/>
            </w:pPr>
            <w:r>
              <w:rPr>
                <w:sz w:val="18"/>
              </w:rPr>
              <w:t>Server permission/capability projection, first allowed child, empty-group suppression and independent handler gates.</w:t>
            </w:r>
          </w:p>
        </w:tc>
      </w:tr>
      <w:tr>
        <w:trPr>
          <w:cantSplit/>
        </w:trPr>
        <w:tc>
          <w:tcPr>
            <w:tcW w:type="dxa" w:w="2880"/>
          </w:tcPr>
          <w:p>
            <w:pPr>
              <w:spacing w:after="60" w:before="40" w:line="240" w:lineRule="auto"/>
            </w:pPr>
            <w:r>
              <w:rPr>
                <w:sz w:val="18"/>
              </w:rPr>
              <w:t>Repeated tiles plus full table</w:t>
            </w:r>
          </w:p>
        </w:tc>
        <w:tc>
          <w:tcPr>
            <w:tcW w:type="dxa" w:w="6984"/>
          </w:tcPr>
          <w:p>
            <w:pPr>
              <w:spacing w:after="60" w:before="40" w:line="240" w:lineRule="auto"/>
            </w:pPr>
            <w:r>
              <w:rPr>
                <w:sz w:val="18"/>
              </w:rPr>
              <w:t>One searchable catalogue with selected-engine settings; diagnostic detail is expandable.</w:t>
            </w:r>
          </w:p>
        </w:tc>
      </w:tr>
      <w:tr>
        <w:trPr>
          <w:cantSplit/>
        </w:trPr>
        <w:tc>
          <w:tcPr>
            <w:tcW w:type="dxa" w:w="2880"/>
          </w:tcPr>
          <w:p>
            <w:pPr>
              <w:spacing w:after="60" w:before="40" w:line="240" w:lineRule="auto"/>
            </w:pPr>
            <w:r>
              <w:rPr>
                <w:sz w:val="18"/>
              </w:rPr>
              <w:t>Sample schedules and booleans</w:t>
            </w:r>
          </w:p>
        </w:tc>
        <w:tc>
          <w:tcPr>
            <w:tcW w:type="dxa" w:w="6984"/>
          </w:tcPr>
          <w:p>
            <w:pPr>
              <w:spacing w:after="60" w:before="40" w:line="240" w:lineRule="auto"/>
            </w:pPr>
            <w:r>
              <w:rPr>
                <w:sz w:val="18"/>
              </w:rPr>
              <w:t>Approved policy-backed defaults; requester extensions default Off, live records are preserved through migration.</w:t>
            </w:r>
          </w:p>
        </w:tc>
      </w:tr>
    </w:tbl>
    <w:p>
      <w:pPr>
        <w:pStyle w:val="Tenant_Heading2"/>
      </w:pPr>
      <w:r>
        <w:t>Migration sequence</w:t>
      </w:r>
    </w:p>
    <w:p>
      <w:r>
        <w:rPr>
          <w:b/>
        </w:rPr>
        <w:t xml:space="preserve">MIG 01  </w:t>
      </w:r>
      <w:r>
        <w:t>Inventory real persisted settings, registry/contract versions, permission definitions, collection names and source checkpoints. Record backup/recovery ownership and migration hash.</w:t>
      </w:r>
    </w:p>
    <w:p>
      <w:r>
        <w:rPr>
          <w:b/>
        </w:rPr>
        <w:t xml:space="preserve">MIG 02  </w:t>
      </w:r>
      <w:r>
        <w:t>Introduce additive fields/collections with a versioned reader. Dry-run mapping and validate dependencies, schema references and trust without activating any new capability.</w:t>
      </w:r>
    </w:p>
    <w:p>
      <w:r>
        <w:rPr>
          <w:b/>
        </w:rPr>
        <w:t xml:space="preserve">MIG 03  </w:t>
      </w:r>
      <w:r>
        <w:t>Preserve existing configured intent where evidence exists. Legacy degraded/healthy may map to desired On only after real policy/readiness reconciliation. Ambiguous data is flagged for a reviewed migration, never guessed On.</w:t>
      </w:r>
    </w:p>
    <w:p>
      <w:r>
        <w:rPr>
          <w:b/>
        </w:rPr>
        <w:t xml:space="preserve">MIG 04  </w:t>
      </w:r>
      <w:r>
        <w:t>Seed missing canonical permissions through M02 with deny-by-default role contributions. Keep M01/M02 On. Remove duplicate role templates using explicit legacy mapping rather than deleting unrelated grants.</w:t>
      </w:r>
    </w:p>
    <w:p>
      <w:r>
        <w:rPr>
          <w:b/>
        </w:rPr>
        <w:t xml:space="preserve">MIG 05  </w:t>
      </w:r>
      <w:r>
        <w:t>Backfill per-engine revisions, tenant generation and provenance; retain all old values in migration history. Validate each tenant independently and run shadow navigation comparisons for authorised/denied personas.</w:t>
      </w:r>
    </w:p>
    <w:p>
      <w:r>
        <w:rPr>
          <w:b/>
        </w:rPr>
        <w:t xml:space="preserve">MIG 06  </w:t>
      </w:r>
      <w:r>
        <w:t>Enable the new handlers for a pilot; stop legacy writers before enforcing the new single authority. Compare runtime gates, schedules, counts, audit and retained data.</w:t>
      </w:r>
    </w:p>
    <w:p>
      <w:r>
        <w:rPr>
          <w:b/>
        </w:rPr>
        <w:t xml:space="preserve">MIG 07  </w:t>
      </w:r>
      <w:r>
        <w:t>Rollback deploys a compatible reader or a reviewed corrective migration. Do not restore old settings over newer accepted operation receipts; preserve monotonic revision and foundation rollback detection.</w:t>
      </w:r>
    </w:p>
    <w:p>
      <w:r>
        <w:br w:type="page"/>
      </w:r>
    </w:p>
    <w:p>
      <w:bookmarkStart w:id="96" w:name="orca_ch_096"/>
      <w:pPr>
        <w:pStyle w:val="Tenant_Heading1"/>
      </w:pPr>
      <w:r>
        <w:t>Performance capacity and engineering validation</w:t>
      </w:r>
      <w:bookmarkEnd w:id="96"/>
    </w:p>
    <w:p>
      <w:pPr>
        <w:pStyle w:val="Tenant_Heading2"/>
      </w:pPr>
      <w:r>
        <w:t>Proposed internal targets to measure</w:t>
      </w:r>
    </w:p>
    <w:tbl>
      <w:tblPr>
        <w:tblStyle w:val="Tenant_LightShading-Accent1"/>
        <w:tblW w:type="auto" w:w="0"/>
        <w:tblLayout w:type="fixed"/>
        <w:tblLook w:firstColumn="1" w:firstRow="1" w:lastColumn="0" w:lastRow="0" w:noHBand="0" w:noVBand="1" w:val="04A0"/>
      </w:tblPr>
      <w:tblGrid>
        <w:gridCol w:w="2448"/>
        <w:gridCol w:w="7416"/>
      </w:tblGrid>
      <w:tr>
        <w:trPr>
          <w:tblHeader/>
        </w:trPr>
        <w:tc>
          <w:tcPr>
            <w:tcW w:type="dxa" w:w="2448"/>
          </w:tcPr>
          <w:p>
            <w:r>
              <w:t>Operation</w:t>
            </w:r>
          </w:p>
        </w:tc>
        <w:tc>
          <w:tcPr>
            <w:tcW w:type="dxa" w:w="7416"/>
          </w:tcPr>
          <w:p>
            <w:r>
              <w:t>Initial engineering target and conditions</w:t>
            </w:r>
          </w:p>
        </w:tc>
      </w:tr>
      <w:tr>
        <w:trPr>
          <w:cantSplit/>
        </w:trPr>
        <w:tc>
          <w:tcPr>
            <w:tcW w:type="dxa" w:w="2448"/>
          </w:tcPr>
          <w:p>
            <w:pPr>
              <w:spacing w:after="60" w:before="40" w:line="240" w:lineRule="auto"/>
            </w:pPr>
            <w:r>
              <w:rPr>
                <w:sz w:val="18"/>
              </w:rPr>
              <w:t>Settings catalogue/navigation</w:t>
            </w:r>
          </w:p>
        </w:tc>
        <w:tc>
          <w:tcPr>
            <w:tcW w:type="dxa" w:w="7416"/>
          </w:tcPr>
          <w:p>
            <w:pPr>
              <w:spacing w:after="60" w:before="40" w:line="240" w:lineRule="auto"/>
            </w:pPr>
            <w:r>
              <w:rPr>
                <w:sz w:val="18"/>
              </w:rPr>
              <w:t>P95 under 1 second server processing with warm trusted metadata, excluding interactive sign-in; prove at the approved pilot concurrency.</w:t>
            </w:r>
          </w:p>
        </w:tc>
      </w:tr>
      <w:tr>
        <w:trPr>
          <w:cantSplit/>
        </w:trPr>
        <w:tc>
          <w:tcPr>
            <w:tcW w:type="dxa" w:w="2448"/>
          </w:tcPr>
          <w:p>
            <w:pPr>
              <w:spacing w:after="60" w:before="40" w:line="240" w:lineRule="auto"/>
            </w:pPr>
            <w:r>
              <w:rPr>
                <w:sz w:val="18"/>
              </w:rPr>
              <w:t>Local plan validation</w:t>
            </w:r>
          </w:p>
        </w:tc>
        <w:tc>
          <w:tcPr>
            <w:tcW w:type="dxa" w:w="7416"/>
          </w:tcPr>
          <w:p>
            <w:pPr>
              <w:spacing w:after="60" w:before="40" w:line="240" w:lineRule="auto"/>
            </w:pPr>
            <w:r>
              <w:rPr>
                <w:sz w:val="18"/>
              </w:rPr>
              <w:t>P95 under 2 seconds for up to 23 engine changes excluding remote provider probes; remote checks expose progress/deadlines.</w:t>
            </w:r>
          </w:p>
        </w:tc>
      </w:tr>
      <w:tr>
        <w:trPr>
          <w:cantSplit/>
        </w:trPr>
        <w:tc>
          <w:tcPr>
            <w:tcW w:type="dxa" w:w="2448"/>
          </w:tcPr>
          <w:p>
            <w:pPr>
              <w:spacing w:after="60" w:before="40" w:line="240" w:lineRule="auto"/>
            </w:pPr>
            <w:r>
              <w:rPr>
                <w:sz w:val="18"/>
              </w:rPr>
              <w:t>Apply intent commit</w:t>
            </w:r>
          </w:p>
        </w:tc>
        <w:tc>
          <w:tcPr>
            <w:tcW w:type="dxa" w:w="7416"/>
          </w:tcPr>
          <w:p>
            <w:pPr>
              <w:spacing w:after="60" w:before="40" w:line="240" w:lineRule="auto"/>
            </w:pPr>
            <w:r>
              <w:rPr>
                <w:sz w:val="18"/>
              </w:rPr>
              <w:t>P95 under 2 seconds for the operator transaction, no provider calls; return operationId rather than blocking on shutdown.</w:t>
            </w:r>
          </w:p>
        </w:tc>
      </w:tr>
      <w:tr>
        <w:trPr>
          <w:cantSplit/>
        </w:trPr>
        <w:tc>
          <w:tcPr>
            <w:tcW w:type="dxa" w:w="2448"/>
          </w:tcPr>
          <w:p>
            <w:pPr>
              <w:spacing w:after="60" w:before="40" w:line="240" w:lineRule="auto"/>
            </w:pPr>
            <w:r>
              <w:rPr>
                <w:sz w:val="18"/>
              </w:rPr>
              <w:t>Revocation/Off gate</w:t>
            </w:r>
          </w:p>
        </w:tc>
        <w:tc>
          <w:tcPr>
            <w:tcW w:type="dxa" w:w="7416"/>
          </w:tcPr>
          <w:p>
            <w:pPr>
              <w:spacing w:after="60" w:before="40" w:line="240" w:lineRule="auto"/>
            </w:pPr>
            <w:r>
              <w:rPr>
                <w:sz w:val="18"/>
              </w:rPr>
              <w:t>Deny the next authoritative ordinary operation after committed local state change; invalidation lag cannot permit a stale server-side Allow.</w:t>
            </w:r>
          </w:p>
        </w:tc>
      </w:tr>
      <w:tr>
        <w:trPr>
          <w:cantSplit/>
        </w:trPr>
        <w:tc>
          <w:tcPr>
            <w:tcW w:type="dxa" w:w="2448"/>
          </w:tcPr>
          <w:p>
            <w:pPr>
              <w:spacing w:after="60" w:before="40" w:line="240" w:lineRule="auto"/>
            </w:pPr>
            <w:r>
              <w:rPr>
                <w:sz w:val="18"/>
              </w:rPr>
              <w:t>Shutdown/catch-up</w:t>
            </w:r>
          </w:p>
        </w:tc>
        <w:tc>
          <w:tcPr>
            <w:tcW w:type="dxa" w:w="7416"/>
          </w:tcPr>
          <w:p>
            <w:pPr>
              <w:spacing w:after="60" w:before="40" w:line="240" w:lineRule="auto"/>
            </w:pPr>
            <w:r>
              <w:rPr>
                <w:sz w:val="18"/>
              </w:rPr>
              <w:t>Engine-specific measured checkpoint/timeout policy, shown in plan/status. No universal promise that external accepted work can stop instantly.</w:t>
            </w:r>
          </w:p>
        </w:tc>
      </w:tr>
      <w:tr>
        <w:trPr>
          <w:cantSplit/>
        </w:trPr>
        <w:tc>
          <w:tcPr>
            <w:tcW w:type="dxa" w:w="2448"/>
          </w:tcPr>
          <w:p>
            <w:pPr>
              <w:spacing w:after="60" w:before="40" w:line="240" w:lineRule="auto"/>
            </w:pPr>
            <w:r>
              <w:rPr>
                <w:sz w:val="18"/>
              </w:rPr>
              <w:t>Payload and pagination</w:t>
            </w:r>
          </w:p>
        </w:tc>
        <w:tc>
          <w:tcPr>
            <w:tcW w:type="dxa" w:w="7416"/>
          </w:tcPr>
          <w:p>
            <w:pPr>
              <w:spacing w:after="60" w:before="40" w:line="240" w:lineRule="auto"/>
            </w:pPr>
            <w:r>
              <w:rPr>
                <w:sz w:val="18"/>
              </w:rPr>
              <w:t>Proposed 256 KiB settings mutation ceiling; max pageSize 100. Validate real 23-engine schemas against limits before freezing.</w:t>
            </w:r>
          </w:p>
        </w:tc>
      </w:tr>
    </w:tbl>
    <w:p>
      <w:r>
        <w:t>These are testable internal starting targets, not accepted SLAs or whole-programme sizing. Benchmark the actual approved tenant/user/job volume and deployment topology. Keep result datasets, hardware/runtime versions, source delay and warm/cold conditions with evidence. Do not carry forward a 16-engine estimate as a 23-engine commitment.</w:t>
      </w:r>
    </w:p>
    <w:p>
      <w:pPr>
        <w:pStyle w:val="Tenant_Heading2"/>
      </w:pPr>
      <w:r>
        <w:t>Required load and fault coverage</w:t>
      </w:r>
    </w:p>
    <w:p>
      <w:r>
        <w:t>Exercise concurrent administrators, many reconnecting Blazor circuits, simultaneous tenant switches, max-size valid/invalid schemas, a dependency-heavy 23-engine plan, large audit history, burst outbox delivery, source throttling and a tenant with a long-running stop. Prove bounded memory/worker pools and that tenant A does not starve B. Keep long probes, collection and apply participants outside UI circuits.</w:t>
      </w:r>
    </w:p>
    <w:p>
      <w:pPr>
        <w:pStyle w:val="Tenant_Heading2"/>
      </w:pPr>
      <w:r>
        <w:t>Freshness versus caching</w:t>
      </w:r>
    </w:p>
    <w:p>
      <w:r>
        <w:t>Cache registry/schema metadata by version and authorised navigation by tenant/subject/policy/engine version vector. Use invalidation to refresh display quickly, but recheck the authoritative gate for each operation. Privileged execution uses live policy and the existing go protocol. Authority outage fails closed; an unbounded local cache is not a fallback permission system.</w:t>
      </w:r>
    </w:p>
    <w:p>
      <w:pPr>
        <w:pStyle w:val="Tenant_Heading2"/>
      </w:pPr>
      <w:r>
        <w:t>Recovery acceptance</w:t>
      </w:r>
    </w:p>
    <w:p>
      <w:r>
        <w:t>Operator recovery targets in the baseline are RTO 4h/RPO 15m and require measured evidence; they do not include customer-held stores or vector rebuild time. Restore through existing quarantine/reconciliation procedures. Test recovered configuration generation, outbox head, schema references, jobs, operation leases and source checkpoints before resuming ordinary engines. Backup availability alone does not prove safe recovery.</w:t>
      </w:r>
    </w:p>
    <w:p>
      <w:r>
        <w:br w:type="page"/>
      </w:r>
    </w:p>
    <w:p>
      <w:bookmarkStart w:id="97" w:name="orca_ch_097"/>
      <w:pPr>
        <w:pStyle w:val="Tenant_Heading1"/>
      </w:pPr>
      <w:r>
        <w:t>Common test matrix and traceability</w:t>
      </w:r>
      <w:bookmarkEnd w:id="97"/>
    </w:p>
    <w:tbl>
      <w:tblPr>
        <w:tblStyle w:val="Tenant_LightShading-Accent1"/>
        <w:tblW w:type="auto" w:w="0"/>
        <w:tblLayout w:type="fixed"/>
        <w:tblLook w:firstColumn="1" w:firstRow="1" w:lastColumn="0" w:lastRow="0" w:noHBand="0" w:noVBand="1" w:val="04A0"/>
      </w:tblPr>
      <w:tblGrid>
        <w:gridCol w:w="1152"/>
        <w:gridCol w:w="1872"/>
        <w:gridCol w:w="6840"/>
      </w:tblGrid>
      <w:tr>
        <w:trPr>
          <w:tblHeader/>
        </w:trPr>
        <w:tc>
          <w:tcPr>
            <w:tcW w:type="dxa" w:w="1152"/>
          </w:tcPr>
          <w:p>
            <w:r>
              <w:t>Test ID</w:t>
            </w:r>
          </w:p>
        </w:tc>
        <w:tc>
          <w:tcPr>
            <w:tcW w:type="dxa" w:w="1872"/>
          </w:tcPr>
          <w:p>
            <w:r>
              <w:t>Trace</w:t>
            </w:r>
          </w:p>
        </w:tc>
        <w:tc>
          <w:tcPr>
            <w:tcW w:type="dxa" w:w="6840"/>
          </w:tcPr>
          <w:p>
            <w:r>
              <w:t>Scenario and evidence</w:t>
            </w:r>
          </w:p>
        </w:tc>
      </w:tr>
      <w:tr>
        <w:trPr>
          <w:cantSplit/>
        </w:trPr>
        <w:tc>
          <w:tcPr>
            <w:tcW w:type="dxa" w:w="1152"/>
          </w:tcPr>
          <w:p>
            <w:pPr>
              <w:spacing w:after="60" w:before="40" w:line="240" w:lineRule="auto"/>
            </w:pPr>
            <w:r>
              <w:rPr>
                <w:sz w:val="18"/>
              </w:rPr>
              <w:t>TSET 01</w:t>
            </w:r>
          </w:p>
        </w:tc>
        <w:tc>
          <w:tcPr>
            <w:tcW w:type="dxa" w:w="1872"/>
          </w:tcPr>
          <w:p>
            <w:pPr>
              <w:spacing w:after="60" w:before="40" w:line="240" w:lineRule="auto"/>
            </w:pPr>
            <w:r>
              <w:rPr>
                <w:sz w:val="18"/>
              </w:rPr>
              <w:t>REQ01 REG01</w:t>
            </w:r>
          </w:p>
        </w:tc>
        <w:tc>
          <w:tcPr>
            <w:tcW w:type="dxa" w:w="6840"/>
          </w:tcPr>
          <w:p>
            <w:pPr>
              <w:spacing w:after="60" w:before="40" w:line="240" w:lineRule="auto"/>
            </w:pPr>
            <w:r>
              <w:rPr>
                <w:sz w:val="18"/>
              </w:rPr>
              <w:t>All 23 descriptors and typed settings sections, exact registry count; unavailable engines visible only to authorised catalogue users.</w:t>
            </w:r>
          </w:p>
        </w:tc>
      </w:tr>
      <w:tr>
        <w:trPr>
          <w:cantSplit/>
        </w:trPr>
        <w:tc>
          <w:tcPr>
            <w:tcW w:type="dxa" w:w="1152"/>
          </w:tcPr>
          <w:p>
            <w:pPr>
              <w:spacing w:after="60" w:before="40" w:line="240" w:lineRule="auto"/>
            </w:pPr>
            <w:r>
              <w:rPr>
                <w:sz w:val="18"/>
              </w:rPr>
              <w:t>TSET 02</w:t>
            </w:r>
          </w:p>
        </w:tc>
        <w:tc>
          <w:tcPr>
            <w:tcW w:type="dxa" w:w="1872"/>
          </w:tcPr>
          <w:p>
            <w:pPr>
              <w:spacing w:after="60" w:before="40" w:line="240" w:lineRule="auto"/>
            </w:pPr>
            <w:r>
              <w:rPr>
                <w:sz w:val="18"/>
              </w:rPr>
              <w:t>REQ02 STATE01</w:t>
            </w:r>
          </w:p>
        </w:tc>
        <w:tc>
          <w:tcPr>
            <w:tcW w:type="dxa" w:w="6840"/>
          </w:tcPr>
          <w:p>
            <w:pPr>
              <w:spacing w:after="60" w:before="40" w:line="240" w:lineRule="auto"/>
            </w:pPr>
            <w:r>
              <w:rPr>
                <w:sz w:val="18"/>
              </w:rPr>
              <w:t>Independent tenant enable/disable; required M01/M02 cannot turn Off.</w:t>
            </w:r>
          </w:p>
        </w:tc>
      </w:tr>
      <w:tr>
        <w:trPr>
          <w:cantSplit/>
        </w:trPr>
        <w:tc>
          <w:tcPr>
            <w:tcW w:type="dxa" w:w="1152"/>
          </w:tcPr>
          <w:p>
            <w:pPr>
              <w:spacing w:after="60" w:before="40" w:line="240" w:lineRule="auto"/>
            </w:pPr>
            <w:r>
              <w:rPr>
                <w:sz w:val="18"/>
              </w:rPr>
              <w:t>TSET 03</w:t>
            </w:r>
          </w:p>
        </w:tc>
        <w:tc>
          <w:tcPr>
            <w:tcW w:type="dxa" w:w="1872"/>
          </w:tcPr>
          <w:p>
            <w:pPr>
              <w:spacing w:after="60" w:before="40" w:line="240" w:lineRule="auto"/>
            </w:pPr>
            <w:r>
              <w:rPr>
                <w:sz w:val="18"/>
              </w:rPr>
              <w:t>REG04 REG05</w:t>
            </w:r>
          </w:p>
        </w:tc>
        <w:tc>
          <w:tcPr>
            <w:tcW w:type="dxa" w:w="6840"/>
          </w:tcPr>
          <w:p>
            <w:pPr>
              <w:spacing w:after="60" w:before="40" w:line="240" w:lineRule="auto"/>
            </w:pPr>
            <w:r>
              <w:rPr>
                <w:sz w:val="18"/>
              </w:rPr>
              <w:t>Required/conditional dependency blocks; explicit valid multi-engine order; optional absence does not block unrelated functions.</w:t>
            </w:r>
          </w:p>
        </w:tc>
      </w:tr>
      <w:tr>
        <w:trPr>
          <w:cantSplit/>
        </w:trPr>
        <w:tc>
          <w:tcPr>
            <w:tcW w:type="dxa" w:w="1152"/>
          </w:tcPr>
          <w:p>
            <w:pPr>
              <w:spacing w:after="60" w:before="40" w:line="240" w:lineRule="auto"/>
            </w:pPr>
            <w:r>
              <w:rPr>
                <w:sz w:val="18"/>
              </w:rPr>
              <w:t>TSET 04</w:t>
            </w:r>
          </w:p>
        </w:tc>
        <w:tc>
          <w:tcPr>
            <w:tcW w:type="dxa" w:w="1872"/>
          </w:tcPr>
          <w:p>
            <w:pPr>
              <w:spacing w:after="60" w:before="40" w:line="240" w:lineRule="auto"/>
            </w:pPr>
            <w:r>
              <w:rPr>
                <w:sz w:val="18"/>
              </w:rPr>
              <w:t>VAL01–05</w:t>
            </w:r>
          </w:p>
        </w:tc>
        <w:tc>
          <w:tcPr>
            <w:tcW w:type="dxa" w:w="6840"/>
          </w:tcPr>
          <w:p>
            <w:pPr>
              <w:spacing w:after="60" w:before="40" w:line="240" w:lineRule="auto"/>
            </w:pPr>
            <w:r>
              <w:rPr>
                <w:sz w:val="18"/>
              </w:rPr>
              <w:t>Client bypass, malformed/unknown fields, unsafe scope, missing policy, incomplete draft and stale consent fail safely.</w:t>
            </w:r>
          </w:p>
        </w:tc>
      </w:tr>
      <w:tr>
        <w:trPr>
          <w:cantSplit/>
        </w:trPr>
        <w:tc>
          <w:tcPr>
            <w:tcW w:type="dxa" w:w="1152"/>
          </w:tcPr>
          <w:p>
            <w:pPr>
              <w:spacing w:after="60" w:before="40" w:line="240" w:lineRule="auto"/>
            </w:pPr>
            <w:r>
              <w:rPr>
                <w:sz w:val="18"/>
              </w:rPr>
              <w:t>TSET 05</w:t>
            </w:r>
          </w:p>
        </w:tc>
        <w:tc>
          <w:tcPr>
            <w:tcW w:type="dxa" w:w="1872"/>
          </w:tcPr>
          <w:p>
            <w:pPr>
              <w:spacing w:after="60" w:before="40" w:line="240" w:lineRule="auto"/>
            </w:pPr>
            <w:r>
              <w:rPr>
                <w:sz w:val="18"/>
              </w:rPr>
              <w:t>PLAN05–07</w:t>
            </w:r>
          </w:p>
        </w:tc>
        <w:tc>
          <w:tcPr>
            <w:tcW w:type="dxa" w:w="6840"/>
          </w:tcPr>
          <w:p>
            <w:pPr>
              <w:spacing w:after="60" w:before="40" w:line="240" w:lineRule="auto"/>
            </w:pPr>
            <w:r>
              <w:rPr>
                <w:sz w:val="18"/>
              </w:rPr>
              <w:t>Two writers at generation N; only one commits, second gets 412 with retained draft.</w:t>
            </w:r>
          </w:p>
        </w:tc>
      </w:tr>
      <w:tr>
        <w:trPr>
          <w:cantSplit/>
        </w:trPr>
        <w:tc>
          <w:tcPr>
            <w:tcW w:type="dxa" w:w="1152"/>
          </w:tcPr>
          <w:p>
            <w:pPr>
              <w:spacing w:after="60" w:before="40" w:line="240" w:lineRule="auto"/>
            </w:pPr>
            <w:r>
              <w:rPr>
                <w:sz w:val="18"/>
              </w:rPr>
              <w:t>TSET 06</w:t>
            </w:r>
          </w:p>
        </w:tc>
        <w:tc>
          <w:tcPr>
            <w:tcW w:type="dxa" w:w="1872"/>
          </w:tcPr>
          <w:p>
            <w:pPr>
              <w:spacing w:after="60" w:before="40" w:line="240" w:lineRule="auto"/>
            </w:pPr>
            <w:r>
              <w:rPr>
                <w:sz w:val="18"/>
              </w:rPr>
              <w:t>PLAN06</w:t>
            </w:r>
          </w:p>
        </w:tc>
        <w:tc>
          <w:tcPr>
            <w:tcW w:type="dxa" w:w="6840"/>
          </w:tcPr>
          <w:p>
            <w:pPr>
              <w:spacing w:after="60" w:before="40" w:line="240" w:lineRule="auto"/>
            </w:pPr>
            <w:r>
              <w:rPr>
                <w:sz w:val="18"/>
              </w:rPr>
              <w:t>Transaction failure before/after commit produces no partial head/config/audit/idempotency publication.</w:t>
            </w:r>
          </w:p>
        </w:tc>
      </w:tr>
      <w:tr>
        <w:trPr>
          <w:cantSplit/>
        </w:trPr>
        <w:tc>
          <w:tcPr>
            <w:tcW w:type="dxa" w:w="1152"/>
          </w:tcPr>
          <w:p>
            <w:pPr>
              <w:spacing w:after="60" w:before="40" w:line="240" w:lineRule="auto"/>
            </w:pPr>
            <w:r>
              <w:rPr>
                <w:sz w:val="18"/>
              </w:rPr>
              <w:t>TSET 07</w:t>
            </w:r>
          </w:p>
        </w:tc>
        <w:tc>
          <w:tcPr>
            <w:tcW w:type="dxa" w:w="1872"/>
          </w:tcPr>
          <w:p>
            <w:pPr>
              <w:spacing w:after="60" w:before="40" w:line="240" w:lineRule="auto"/>
            </w:pPr>
            <w:r>
              <w:rPr>
                <w:sz w:val="18"/>
              </w:rPr>
              <w:t>PLAN08 JOB05</w:t>
            </w:r>
          </w:p>
        </w:tc>
        <w:tc>
          <w:tcPr>
            <w:tcW w:type="dxa" w:w="6840"/>
          </w:tcPr>
          <w:p>
            <w:pPr>
              <w:spacing w:after="60" w:before="40" w:line="240" w:lineRule="auto"/>
            </w:pPr>
            <w:r>
              <w:rPr>
                <w:sz w:val="18"/>
              </w:rPr>
              <w:t>Crash after receipt or before status update; fenced takeover resumes without duplicate effects.</w:t>
            </w:r>
          </w:p>
        </w:tc>
      </w:tr>
      <w:tr>
        <w:trPr>
          <w:cantSplit/>
        </w:trPr>
        <w:tc>
          <w:tcPr>
            <w:tcW w:type="dxa" w:w="1152"/>
          </w:tcPr>
          <w:p>
            <w:pPr>
              <w:spacing w:after="60" w:before="40" w:line="240" w:lineRule="auto"/>
            </w:pPr>
            <w:r>
              <w:rPr>
                <w:sz w:val="18"/>
              </w:rPr>
              <w:t>TSET 08</w:t>
            </w:r>
          </w:p>
        </w:tc>
        <w:tc>
          <w:tcPr>
            <w:tcW w:type="dxa" w:w="1872"/>
          </w:tcPr>
          <w:p>
            <w:pPr>
              <w:spacing w:after="60" w:before="40" w:line="240" w:lineRule="auto"/>
            </w:pPr>
            <w:r>
              <w:rPr>
                <w:sz w:val="18"/>
              </w:rPr>
              <w:t>STATE02 JOB01–04</w:t>
            </w:r>
          </w:p>
        </w:tc>
        <w:tc>
          <w:tcPr>
            <w:tcW w:type="dxa" w:w="6840"/>
          </w:tcPr>
          <w:p>
            <w:pPr>
              <w:spacing w:after="60" w:before="40" w:line="240" w:lineRule="auto"/>
            </w:pPr>
            <w:r>
              <w:rPr>
                <w:sz w:val="18"/>
              </w:rPr>
              <w:t>Queued/retried/in-flight work when Off: new work denied, safe drain and accepted-provider read-back evidenced.</w:t>
            </w:r>
          </w:p>
        </w:tc>
      </w:tr>
      <w:tr>
        <w:trPr>
          <w:cantSplit/>
        </w:trPr>
        <w:tc>
          <w:tcPr>
            <w:tcW w:type="dxa" w:w="1152"/>
          </w:tcPr>
          <w:p>
            <w:pPr>
              <w:spacing w:after="60" w:before="40" w:line="240" w:lineRule="auto"/>
            </w:pPr>
            <w:r>
              <w:rPr>
                <w:sz w:val="18"/>
              </w:rPr>
              <w:t>TSET 09</w:t>
            </w:r>
          </w:p>
        </w:tc>
        <w:tc>
          <w:tcPr>
            <w:tcW w:type="dxa" w:w="1872"/>
          </w:tcPr>
          <w:p>
            <w:pPr>
              <w:spacing w:after="60" w:before="40" w:line="240" w:lineRule="auto"/>
            </w:pPr>
            <w:r>
              <w:rPr>
                <w:sz w:val="18"/>
              </w:rPr>
              <w:t>REQ03 MIG04</w:t>
            </w:r>
          </w:p>
        </w:tc>
        <w:tc>
          <w:tcPr>
            <w:tcW w:type="dxa" w:w="6840"/>
          </w:tcPr>
          <w:p>
            <w:pPr>
              <w:spacing w:after="60" w:before="40" w:line="240" w:lineRule="auto"/>
            </w:pPr>
            <w:r>
              <w:rPr>
                <w:sz w:val="18"/>
              </w:rPr>
              <w:t>Off/On preserves settings, version, checkpoints, audit, usage, evidence and holds.</w:t>
            </w:r>
          </w:p>
        </w:tc>
      </w:tr>
      <w:tr>
        <w:trPr>
          <w:cantSplit/>
        </w:trPr>
        <w:tc>
          <w:tcPr>
            <w:tcW w:type="dxa" w:w="1152"/>
          </w:tcPr>
          <w:p>
            <w:pPr>
              <w:spacing w:after="60" w:before="40" w:line="240" w:lineRule="auto"/>
            </w:pPr>
            <w:r>
              <w:rPr>
                <w:sz w:val="18"/>
              </w:rPr>
              <w:t>TSET 10</w:t>
            </w:r>
          </w:p>
        </w:tc>
        <w:tc>
          <w:tcPr>
            <w:tcW w:type="dxa" w:w="1872"/>
          </w:tcPr>
          <w:p>
            <w:pPr>
              <w:spacing w:after="60" w:before="40" w:line="240" w:lineRule="auto"/>
            </w:pPr>
            <w:r>
              <w:rPr>
                <w:sz w:val="18"/>
              </w:rPr>
              <w:t>API idempotency</w:t>
            </w:r>
          </w:p>
        </w:tc>
        <w:tc>
          <w:tcPr>
            <w:tcW w:type="dxa" w:w="6840"/>
          </w:tcPr>
          <w:p>
            <w:pPr>
              <w:spacing w:after="60" w:before="40" w:line="240" w:lineRule="auto"/>
            </w:pPr>
            <w:r>
              <w:rPr>
                <w:sz w:val="18"/>
              </w:rPr>
              <w:t>Lost apply response, same-key repeat, changed payload, expired plan and revoked requester; no duplicate commit or data disclosure.</w:t>
            </w:r>
          </w:p>
        </w:tc>
      </w:tr>
      <w:tr>
        <w:trPr>
          <w:cantSplit/>
        </w:trPr>
        <w:tc>
          <w:tcPr>
            <w:tcW w:type="dxa" w:w="1152"/>
          </w:tcPr>
          <w:p>
            <w:pPr>
              <w:spacing w:after="60" w:before="40" w:line="240" w:lineRule="auto"/>
            </w:pPr>
            <w:r>
              <w:rPr>
                <w:sz w:val="18"/>
              </w:rPr>
              <w:t>TSET 11</w:t>
            </w:r>
          </w:p>
        </w:tc>
        <w:tc>
          <w:tcPr>
            <w:tcW w:type="dxa" w:w="1872"/>
          </w:tcPr>
          <w:p>
            <w:pPr>
              <w:spacing w:after="60" w:before="40" w:line="240" w:lineRule="auto"/>
            </w:pPr>
            <w:r>
              <w:rPr>
                <w:sz w:val="18"/>
              </w:rPr>
              <w:t>INV01–07</w:t>
            </w:r>
          </w:p>
        </w:tc>
        <w:tc>
          <w:tcPr>
            <w:tcW w:type="dxa" w:w="6840"/>
          </w:tcPr>
          <w:p>
            <w:pPr>
              <w:spacing w:after="60" w:before="40" w:line="240" w:lineRule="auto"/>
            </w:pPr>
            <w:r>
              <w:rPr>
                <w:sz w:val="18"/>
              </w:rPr>
              <w:t>Cross-tenant route/secret/database/scope substitution, hostile labels, arbitrary connection URL and null requester denied.</w:t>
            </w:r>
          </w:p>
        </w:tc>
      </w:tr>
      <w:tr>
        <w:trPr>
          <w:cantSplit/>
        </w:trPr>
        <w:tc>
          <w:tcPr>
            <w:tcW w:type="dxa" w:w="1152"/>
          </w:tcPr>
          <w:p>
            <w:pPr>
              <w:spacing w:after="60" w:before="40" w:line="240" w:lineRule="auto"/>
            </w:pPr>
            <w:r>
              <w:rPr>
                <w:sz w:val="18"/>
              </w:rPr>
              <w:t>TSET 12</w:t>
            </w:r>
          </w:p>
        </w:tc>
        <w:tc>
          <w:tcPr>
            <w:tcW w:type="dxa" w:w="1872"/>
          </w:tcPr>
          <w:p>
            <w:pPr>
              <w:spacing w:after="60" w:before="40" w:line="240" w:lineRule="auto"/>
            </w:pPr>
            <w:r>
              <w:rPr>
                <w:sz w:val="18"/>
              </w:rPr>
              <w:t>STATE06 INV08</w:t>
            </w:r>
          </w:p>
        </w:tc>
        <w:tc>
          <w:tcPr>
            <w:tcW w:type="dxa" w:w="6840"/>
          </w:tcPr>
          <w:p>
            <w:pPr>
              <w:spacing w:after="60" w:before="40" w:line="240" w:lineRule="auto"/>
            </w:pPr>
            <w:r>
              <w:rPr>
                <w:sz w:val="18"/>
              </w:rPr>
              <w:t>ReadOnly/Suspended/Quarantined, authority outage and settings restore cannot bypass trust or resurrect old approval.</w:t>
            </w:r>
          </w:p>
        </w:tc>
      </w:tr>
      <w:tr>
        <w:trPr>
          <w:cantSplit/>
        </w:trPr>
        <w:tc>
          <w:tcPr>
            <w:tcW w:type="dxa" w:w="1152"/>
          </w:tcPr>
          <w:p>
            <w:pPr>
              <w:spacing w:after="60" w:before="40" w:line="240" w:lineRule="auto"/>
            </w:pPr>
            <w:r>
              <w:rPr>
                <w:sz w:val="18"/>
              </w:rPr>
              <w:t>NAV 01</w:t>
            </w:r>
          </w:p>
        </w:tc>
        <w:tc>
          <w:tcPr>
            <w:tcW w:type="dxa" w:w="1872"/>
          </w:tcPr>
          <w:p>
            <w:pPr>
              <w:spacing w:after="60" w:before="40" w:line="240" w:lineRule="auto"/>
            </w:pPr>
            <w:r>
              <w:rPr>
                <w:sz w:val="18"/>
              </w:rPr>
              <w:t>REQ04 projection</w:t>
            </w:r>
          </w:p>
        </w:tc>
        <w:tc>
          <w:tcPr>
            <w:tcW w:type="dxa" w:w="6840"/>
          </w:tcPr>
          <w:p>
            <w:pPr>
              <w:spacing w:after="60" w:before="40" w:line="240" w:lineRule="auto"/>
            </w:pPr>
            <w:r>
              <w:rPr>
                <w:sz w:val="18"/>
              </w:rPr>
              <w:t>Sidebar/footer/tabs/empty groups/shortcuts/badges/command palette share current visibility policy.</w:t>
            </w:r>
          </w:p>
        </w:tc>
      </w:tr>
      <w:tr>
        <w:trPr>
          <w:cantSplit/>
        </w:trPr>
        <w:tc>
          <w:tcPr>
            <w:tcW w:type="dxa" w:w="1152"/>
          </w:tcPr>
          <w:p>
            <w:pPr>
              <w:spacing w:after="60" w:before="40" w:line="240" w:lineRule="auto"/>
            </w:pPr>
            <w:r>
              <w:rPr>
                <w:sz w:val="18"/>
              </w:rPr>
              <w:t>NAV 02</w:t>
            </w:r>
          </w:p>
        </w:tc>
        <w:tc>
          <w:tcPr>
            <w:tcW w:type="dxa" w:w="1872"/>
          </w:tcPr>
          <w:p>
            <w:pPr>
              <w:spacing w:after="60" w:before="40" w:line="240" w:lineRule="auto"/>
            </w:pPr>
            <w:r>
              <w:rPr>
                <w:sz w:val="18"/>
              </w:rPr>
              <w:t>M02 semantics</w:t>
            </w:r>
          </w:p>
        </w:tc>
        <w:tc>
          <w:tcPr>
            <w:tcW w:type="dxa" w:w="6840"/>
          </w:tcPr>
          <w:p>
            <w:pPr>
              <w:spacing w:after="60" w:before="40" w:line="240" w:lineRule="auto"/>
            </w:pPr>
            <w:r>
              <w:rPr>
                <w:sz w:val="18"/>
              </w:rPr>
              <w:t>Role union, role-scoped deny, subject deny, guest ceiling, inherit/narrow/empty overrides and SuperAdmin no content bypass.</w:t>
            </w:r>
          </w:p>
        </w:tc>
      </w:tr>
      <w:tr>
        <w:trPr>
          <w:cantSplit/>
        </w:trPr>
        <w:tc>
          <w:tcPr>
            <w:tcW w:type="dxa" w:w="1152"/>
          </w:tcPr>
          <w:p>
            <w:pPr>
              <w:spacing w:after="60" w:before="40" w:line="240" w:lineRule="auto"/>
            </w:pPr>
            <w:r>
              <w:rPr>
                <w:sz w:val="18"/>
              </w:rPr>
              <w:t>NAV 03</w:t>
            </w:r>
          </w:p>
        </w:tc>
        <w:tc>
          <w:tcPr>
            <w:tcW w:type="dxa" w:w="1872"/>
          </w:tcPr>
          <w:p>
            <w:pPr>
              <w:spacing w:after="60" w:before="40" w:line="240" w:lineRule="auto"/>
            </w:pPr>
            <w:r>
              <w:rPr>
                <w:sz w:val="18"/>
              </w:rPr>
              <w:t>Route gates</w:t>
            </w:r>
          </w:p>
        </w:tc>
        <w:tc>
          <w:tcPr>
            <w:tcW w:type="dxa" w:w="6840"/>
          </w:tcPr>
          <w:p>
            <w:pPr>
              <w:spacing w:after="60" w:before="40" w:line="240" w:lineRule="auto"/>
            </w:pPr>
            <w:r>
              <w:rPr>
                <w:sz w:val="18"/>
              </w:rPr>
              <w:t>Direct route/API/query/search/export access to hidden or disabled capabilities denied before results/counts.</w:t>
            </w:r>
          </w:p>
        </w:tc>
      </w:tr>
      <w:tr>
        <w:trPr>
          <w:cantSplit/>
        </w:trPr>
        <w:tc>
          <w:tcPr>
            <w:tcW w:type="dxa" w:w="1152"/>
          </w:tcPr>
          <w:p>
            <w:pPr>
              <w:spacing w:after="60" w:before="40" w:line="240" w:lineRule="auto"/>
            </w:pPr>
            <w:r>
              <w:rPr>
                <w:sz w:val="18"/>
              </w:rPr>
              <w:t>NAV 04</w:t>
            </w:r>
          </w:p>
        </w:tc>
        <w:tc>
          <w:tcPr>
            <w:tcW w:type="dxa" w:w="1872"/>
          </w:tcPr>
          <w:p>
            <w:pPr>
              <w:spacing w:after="60" w:before="40" w:line="240" w:lineRule="auto"/>
            </w:pPr>
            <w:r>
              <w:rPr>
                <w:sz w:val="18"/>
              </w:rPr>
              <w:t>Circuit invalidation</w:t>
            </w:r>
          </w:p>
        </w:tc>
        <w:tc>
          <w:tcPr>
            <w:tcW w:type="dxa" w:w="6840"/>
          </w:tcPr>
          <w:p>
            <w:pPr>
              <w:spacing w:after="60" w:before="40" w:line="240" w:lineRule="auto"/>
            </w:pPr>
            <w:r>
              <w:rPr>
                <w:sz w:val="18"/>
              </w:rPr>
              <w:t>Permission revoke, engine change, reconnect and tenant switch clear old data and refresh every replica.</w:t>
            </w:r>
          </w:p>
        </w:tc>
      </w:tr>
      <w:tr>
        <w:trPr>
          <w:cantSplit/>
        </w:trPr>
        <w:tc>
          <w:tcPr>
            <w:tcW w:type="dxa" w:w="1152"/>
          </w:tcPr>
          <w:p>
            <w:pPr>
              <w:spacing w:after="60" w:before="40" w:line="240" w:lineRule="auto"/>
            </w:pPr>
            <w:r>
              <w:rPr>
                <w:sz w:val="18"/>
              </w:rPr>
              <w:t>NAV 05</w:t>
            </w:r>
          </w:p>
        </w:tc>
        <w:tc>
          <w:tcPr>
            <w:tcW w:type="dxa" w:w="1872"/>
          </w:tcPr>
          <w:p>
            <w:pPr>
              <w:spacing w:after="60" w:before="40" w:line="240" w:lineRule="auto"/>
            </w:pPr>
            <w:r>
              <w:rPr>
                <w:sz w:val="18"/>
              </w:rPr>
              <w:t>M23 boundaries</w:t>
            </w:r>
          </w:p>
        </w:tc>
        <w:tc>
          <w:tcPr>
            <w:tcW w:type="dxa" w:w="6840"/>
          </w:tcPr>
          <w:p>
            <w:pPr>
              <w:spacing w:after="60" w:before="40" w:line="240" w:lineRule="auto"/>
            </w:pPr>
            <w:r>
              <w:rPr>
                <w:sz w:val="18"/>
              </w:rPr>
              <w:t>Requester own/delegated scope; operator without portal grant denied; extensions Off by default and revocation enforced.</w:t>
            </w:r>
          </w:p>
        </w:tc>
      </w:tr>
      <w:tr>
        <w:trPr>
          <w:cantSplit/>
        </w:trPr>
        <w:tc>
          <w:tcPr>
            <w:tcW w:type="dxa" w:w="1152"/>
          </w:tcPr>
          <w:p>
            <w:pPr>
              <w:spacing w:after="60" w:before="40" w:line="240" w:lineRule="auto"/>
            </w:pPr>
            <w:r>
              <w:rPr>
                <w:sz w:val="18"/>
              </w:rPr>
              <w:t>NAV 06</w:t>
            </w:r>
          </w:p>
        </w:tc>
        <w:tc>
          <w:tcPr>
            <w:tcW w:type="dxa" w:w="1872"/>
          </w:tcPr>
          <w:p>
            <w:pPr>
              <w:spacing w:after="60" w:before="40" w:line="240" w:lineRule="auto"/>
            </w:pPr>
            <w:r>
              <w:rPr>
                <w:sz w:val="18"/>
              </w:rPr>
              <w:t>REQ06 UI</w:t>
            </w:r>
          </w:p>
        </w:tc>
        <w:tc>
          <w:tcPr>
            <w:tcW w:type="dxa" w:w="6840"/>
          </w:tcPr>
          <w:p>
            <w:pPr>
              <w:spacing w:after="60" w:before="40" w:line="240" w:lineRule="auto"/>
            </w:pPr>
            <w:r>
              <w:rPr>
                <w:sz w:val="18"/>
              </w:rPr>
              <w:t>Keyboard, dialog focus, responsive widths, 200% zoom, long labels, validation and both themes.</w:t>
            </w:r>
          </w:p>
        </w:tc>
      </w:tr>
    </w:tbl>
    <w:p>
      <w:r>
        <w:t>Every ECFG M01–M23 plus Phase 1 M24 AC scenario is additional to this matrix. Map these tests to the existing ENGNAV 01–10 and module release gates; preserve original programme and ITSM test namespaces. A passed mock-up interaction is not evidence for server persistence, provider consent or multi-replica gates.</w:t>
      </w:r>
    </w:p>
    <w:p>
      <w:r>
        <w:br w:type="page"/>
      </w:r>
    </w:p>
    <w:p>
      <w:bookmarkStart w:id="98" w:name="orca_ch_098"/>
      <w:pPr>
        <w:pStyle w:val="Tenant_Heading1"/>
      </w:pPr>
      <w:r>
        <w:t>Detailed end to end acceptance journeys</w:t>
      </w:r>
      <w:bookmarkEnd w:id="98"/>
    </w:p>
    <w:p>
      <w:pPr>
        <w:pStyle w:val="Tenant_Heading2"/>
      </w:pPr>
      <w:r>
        <w:t>Journey A pause collection and re enable safely</w:t>
      </w:r>
    </w:p>
    <w:p>
      <w:r>
        <w:rPr>
          <w:b/>
        </w:rPr>
        <w:t xml:space="preserve">A1  </w:t>
      </w:r>
      <w:r>
        <w:t>Tenant administrator with current module.manage loads BRAM generation 18 and stages M17 Off. A cost-only viewer sees no edit switch.</w:t>
      </w:r>
    </w:p>
    <w:p>
      <w:r>
        <w:rPr>
          <w:b/>
        </w:rPr>
        <w:t xml:space="preserve">A2  </w:t>
      </w:r>
      <w:r>
        <w:t>Server plan identifies the selected tenant, M17 diff, routes removed, retained checkpoints and running collector impact. No purge or hidden dependent change appears.</w:t>
      </w:r>
    </w:p>
    <w:p>
      <w:r>
        <w:rPr>
          <w:b/>
        </w:rPr>
        <w:t xml:space="preserve">A3  </w:t>
      </w:r>
      <w:r>
        <w:t>Apply with reason/If-Match/idempotency commits generation 19; next ordinary M17 request/job denies, regardless of a stale browser or missed invalidation.</w:t>
      </w:r>
    </w:p>
    <w:p>
      <w:r>
        <w:rPr>
          <w:b/>
        </w:rPr>
        <w:t xml:space="preserve">A4  </w:t>
      </w:r>
      <w:r>
        <w:t>Running collection reaches a registered checkpoint. Runtime becomes Off; settings and records remain intact. Another tenant’s collection continues.</w:t>
      </w:r>
    </w:p>
    <w:p>
      <w:r>
        <w:rPr>
          <w:b/>
        </w:rPr>
        <w:t xml:space="preserve">A5  </w:t>
      </w:r>
      <w:r>
        <w:t>Re-enable through a fresh plan: validate policy/consent/readiness, recover bounded missed window, deduplicate source facts and publish current health separately.</w:t>
      </w:r>
    </w:p>
    <w:p>
      <w:pPr>
        <w:pStyle w:val="Tenant_Heading2"/>
      </w:pPr>
      <w:r>
        <w:t>Journey B dependency conflict and conflict resolution</w:t>
      </w:r>
    </w:p>
    <w:p>
      <w:r>
        <w:rPr>
          <w:b/>
        </w:rPr>
        <w:t xml:space="preserve">B1  </w:t>
      </w:r>
      <w:r>
        <w:t>M10 is On. Administrator stages M11 Off only. Plan blocks with active dependant M10; no changes commit.</w:t>
      </w:r>
    </w:p>
    <w:p>
      <w:r>
        <w:rPr>
          <w:b/>
        </w:rPr>
        <w:t xml:space="preserve">B2  </w:t>
      </w:r>
      <w:r>
        <w:t>Administrator explicitly stages M10 Off and M11 Off. Review shows both and correct stop order. Another administrator commits a different graph first.</w:t>
      </w:r>
    </w:p>
    <w:p>
      <w:r>
        <w:rPr>
          <w:b/>
        </w:rPr>
        <w:t xml:space="preserve">B3  </w:t>
      </w:r>
      <w:r>
        <w:t>Stale apply gets 412; the draft survives. A new plan is generated against the new generation and current grants, rather than replaying the old plan automatically.</w:t>
      </w:r>
    </w:p>
    <w:p>
      <w:pPr>
        <w:pStyle w:val="Tenant_Heading2"/>
      </w:pPr>
      <w:r>
        <w:t>Journey C requester access and current page revocation</w:t>
      </w:r>
    </w:p>
    <w:p>
      <w:r>
        <w:rPr>
          <w:b/>
        </w:rPr>
        <w:t xml:space="preserve">C1  </w:t>
      </w:r>
      <w:r>
        <w:t>Requester has portal entry and M23/M21 effective On. Show only permitted self-service navigation and public own-ticket data; no analyst/admin links or private notes.</w:t>
      </w:r>
    </w:p>
    <w:p>
      <w:r>
        <w:rPr>
          <w:b/>
        </w:rPr>
        <w:t xml:space="preserve">C2  </w:t>
      </w:r>
      <w:r>
        <w:t>On-behalf and department viewing remain absent until both the tenant feature and verified scoped permission/delegation are present.</w:t>
      </w:r>
    </w:p>
    <w:p>
      <w:r>
        <w:rPr>
          <w:b/>
        </w:rPr>
        <w:t xml:space="preserve">C3  </w:t>
      </w:r>
      <w:r>
        <w:t>Revoke delegation while a ticket is open. Next server operation denies; invalidate projections and clear private cached content. Direct exports/deep links remain denied.</w:t>
      </w:r>
    </w:p>
    <w:p>
      <w:r>
        <w:rPr>
          <w:b/>
        </w:rPr>
        <w:t xml:space="preserve">C4  </w:t>
      </w:r>
      <w:r>
        <w:t>An operator without requester.portal.enter does not see Self-service. Granting it deliberately can allow the operator’s own requester use without adding guest-only restrictions.</w:t>
      </w:r>
    </w:p>
    <w:p>
      <w:pPr>
        <w:pStyle w:val="Tenant_Heading2"/>
      </w:pPr>
      <w:r>
        <w:t>Journey D response already accepted during shutdown</w:t>
      </w:r>
    </w:p>
    <w:p>
      <w:r>
        <w:t>Obtain an approved action under the existing live go protocol; record provider acceptance. Commit the relevant engine Off before verification completes. Prevent any new ordinary dispatch, preserve the receipt, continue only registered reconciliation and show that already accepted work cannot be retroactively cancelled. A repeated settings Apply must not create a second action or erase its approval/audit history.</w:t>
      </w:r>
    </w:p>
    <w:p>
      <w:r>
        <w:br w:type="page"/>
      </w:r>
    </w:p>
    <w:p>
      <w:bookmarkStart w:id="99" w:name="orca_ch_099"/>
      <w:pPr>
        <w:pStyle w:val="Tenant_Heading1"/>
      </w:pPr>
      <w:r>
        <w:t>Delivery work packages and release gates</w:t>
      </w:r>
      <w:bookmarkEnd w:id="99"/>
    </w:p>
    <w:tbl>
      <w:tblPr>
        <w:tblStyle w:val="Tenant_LightShading-Accent1"/>
        <w:tblW w:type="auto" w:w="0"/>
        <w:tblLayout w:type="fixed"/>
        <w:tblLook w:firstColumn="1" w:firstRow="1" w:lastColumn="0" w:lastRow="0" w:noHBand="0" w:noVBand="1" w:val="04A0"/>
      </w:tblPr>
      <w:tblGrid>
        <w:gridCol w:w="2376"/>
        <w:gridCol w:w="7488"/>
      </w:tblGrid>
      <w:tr>
        <w:trPr>
          <w:tblHeader/>
        </w:trPr>
        <w:tc>
          <w:tcPr>
            <w:tcW w:type="dxa" w:w="2376"/>
          </w:tcPr>
          <w:p>
            <w:r>
              <w:t>Package</w:t>
            </w:r>
          </w:p>
        </w:tc>
        <w:tc>
          <w:tcPr>
            <w:tcW w:type="dxa" w:w="7488"/>
          </w:tcPr>
          <w:p>
            <w:r>
              <w:t>Deliverable and acceptance owner</w:t>
            </w:r>
          </w:p>
        </w:tc>
      </w:tr>
      <w:tr>
        <w:trPr>
          <w:cantSplit/>
        </w:trPr>
        <w:tc>
          <w:tcPr>
            <w:tcW w:type="dxa" w:w="2376"/>
          </w:tcPr>
          <w:p>
            <w:pPr>
              <w:spacing w:after="60" w:before="40" w:line="240" w:lineRule="auto"/>
            </w:pPr>
            <w:r>
              <w:rPr>
                <w:sz w:val="18"/>
              </w:rPr>
              <w:t>WP01 M01 registry and schema</w:t>
            </w:r>
          </w:p>
        </w:tc>
        <w:tc>
          <w:tcPr>
            <w:tcW w:type="dxa" w:w="7488"/>
          </w:tcPr>
          <w:p>
            <w:pPr>
              <w:spacing w:after="60" w:before="40" w:line="240" w:lineRule="auto"/>
            </w:pPr>
            <w:r>
              <w:rPr>
                <w:sz w:val="18"/>
              </w:rPr>
              <w:t>Versioned descriptors, dependency validation, schema discovery, proposed permission gap register and collection ownership reconciliation. Architect + M01.</w:t>
            </w:r>
          </w:p>
        </w:tc>
      </w:tr>
      <w:tr>
        <w:trPr>
          <w:cantSplit/>
        </w:trPr>
        <w:tc>
          <w:tcPr>
            <w:tcW w:type="dxa" w:w="2376"/>
          </w:tcPr>
          <w:p>
            <w:pPr>
              <w:spacing w:after="60" w:before="40" w:line="240" w:lineRule="auto"/>
            </w:pPr>
            <w:r>
              <w:rPr>
                <w:sz w:val="18"/>
              </w:rPr>
              <w:t>WP02 M02 policy and navigation</w:t>
            </w:r>
          </w:p>
        </w:tc>
        <w:tc>
          <w:tcPr>
            <w:tcW w:type="dxa" w:w="7488"/>
          </w:tcPr>
          <w:p>
            <w:pPr>
              <w:spacing w:after="60" w:before="40" w:line="240" w:lineRule="auto"/>
            </w:pPr>
            <w:r>
              <w:rPr>
                <w:sz w:val="18"/>
              </w:rPr>
              <w:t>Current trusted projection, route/handler gates, realistic personas, deny semantics and invalidation vector. M02 + security reviewer.</w:t>
            </w:r>
          </w:p>
        </w:tc>
      </w:tr>
      <w:tr>
        <w:trPr>
          <w:cantSplit/>
        </w:trPr>
        <w:tc>
          <w:tcPr>
            <w:tcW w:type="dxa" w:w="2376"/>
          </w:tcPr>
          <w:p>
            <w:pPr>
              <w:spacing w:after="60" w:before="40" w:line="240" w:lineRule="auto"/>
            </w:pPr>
            <w:r>
              <w:rPr>
                <w:sz w:val="18"/>
              </w:rPr>
              <w:t>WP03 persistence and coordinator</w:t>
            </w:r>
          </w:p>
        </w:tc>
        <w:tc>
          <w:tcPr>
            <w:tcW w:type="dxa" w:w="7488"/>
          </w:tcPr>
          <w:p>
            <w:pPr>
              <w:spacing w:after="60" w:before="40" w:line="240" w:lineRule="auto"/>
            </w:pPr>
            <w:r>
              <w:rPr>
                <w:sz w:val="18"/>
              </w:rPr>
              <w:t>Head/settings/plan/operation/audit/outbox contracts; transactions, If-Match, idempotency, plan hashing and conflicts. M01 + independent reviewer.</w:t>
            </w:r>
          </w:p>
        </w:tc>
      </w:tr>
      <w:tr>
        <w:trPr>
          <w:cantSplit/>
        </w:trPr>
        <w:tc>
          <w:tcPr>
            <w:tcW w:type="dxa" w:w="2376"/>
          </w:tcPr>
          <w:p>
            <w:pPr>
              <w:spacing w:after="60" w:before="40" w:line="240" w:lineRule="auto"/>
            </w:pPr>
            <w:r>
              <w:rPr>
                <w:sz w:val="18"/>
              </w:rPr>
              <w:t>WP04 participant jobs</w:t>
            </w:r>
          </w:p>
        </w:tc>
        <w:tc>
          <w:tcPr>
            <w:tcW w:type="dxa" w:w="7488"/>
          </w:tcPr>
          <w:p>
            <w:pPr>
              <w:spacing w:after="60" w:before="40" w:line="240" w:lineRule="auto"/>
            </w:pPr>
            <w:r>
              <w:rPr>
                <w:sz w:val="18"/>
              </w:rPr>
              <w:t>Start/stop/reconfigure/readiness, safe checkpoints, leases/fencing, Reader/Executor boundaries and source reconciliation. Engine owners.</w:t>
            </w:r>
          </w:p>
        </w:tc>
      </w:tr>
      <w:tr>
        <w:trPr>
          <w:cantSplit/>
        </w:trPr>
        <w:tc>
          <w:tcPr>
            <w:tcW w:type="dxa" w:w="2376"/>
          </w:tcPr>
          <w:p>
            <w:pPr>
              <w:spacing w:after="60" w:before="40" w:line="240" w:lineRule="auto"/>
            </w:pPr>
            <w:r>
              <w:rPr>
                <w:sz w:val="18"/>
              </w:rPr>
              <w:t>WP05 Blazor UI</w:t>
            </w:r>
          </w:p>
        </w:tc>
        <w:tc>
          <w:tcPr>
            <w:tcW w:type="dxa" w:w="7488"/>
          </w:tcPr>
          <w:p>
            <w:pPr>
              <w:spacing w:after="60" w:before="40" w:line="240" w:lineRule="auto"/>
            </w:pPr>
            <w:r>
              <w:rPr>
                <w:sz w:val="18"/>
              </w:rPr>
              <w:t>Tenant shell, one catalogue, typed forms, review dialog, dirty guards, errors/status and light/dark responsiveness. UI UX + front end.</w:t>
            </w:r>
          </w:p>
        </w:tc>
      </w:tr>
      <w:tr>
        <w:trPr>
          <w:cantSplit/>
        </w:trPr>
        <w:tc>
          <w:tcPr>
            <w:tcW w:type="dxa" w:w="2376"/>
          </w:tcPr>
          <w:p>
            <w:pPr>
              <w:spacing w:after="60" w:before="40" w:line="240" w:lineRule="auto"/>
            </w:pPr>
            <w:r>
              <w:rPr>
                <w:sz w:val="18"/>
              </w:rPr>
              <w:t>WP06 engine field adapters</w:t>
            </w:r>
          </w:p>
        </w:tc>
        <w:tc>
          <w:tcPr>
            <w:tcW w:type="dxa" w:w="7488"/>
          </w:tcPr>
          <w:p>
            <w:pPr>
              <w:spacing w:after="60" w:before="40" w:line="240" w:lineRule="auto"/>
            </w:pPr>
            <w:r>
              <w:rPr>
                <w:sz w:val="18"/>
              </w:rPr>
              <w:t>M01–M23 pages, per-field scopes, policy references, migrations and ECFG tests. Each module owner.</w:t>
            </w:r>
          </w:p>
        </w:tc>
      </w:tr>
      <w:tr>
        <w:trPr>
          <w:cantSplit/>
        </w:trPr>
        <w:tc>
          <w:tcPr>
            <w:tcW w:type="dxa" w:w="2376"/>
          </w:tcPr>
          <w:p>
            <w:pPr>
              <w:spacing w:after="60" w:before="40" w:line="240" w:lineRule="auto"/>
            </w:pPr>
            <w:r>
              <w:rPr>
                <w:sz w:val="18"/>
              </w:rPr>
              <w:t>WP07 migration and telemetry</w:t>
            </w:r>
          </w:p>
        </w:tc>
        <w:tc>
          <w:tcPr>
            <w:tcW w:type="dxa" w:w="7488"/>
          </w:tcPr>
          <w:p>
            <w:pPr>
              <w:spacing w:after="60" w:before="40" w:line="240" w:lineRule="auto"/>
            </w:pPr>
            <w:r>
              <w:rPr>
                <w:sz w:val="18"/>
              </w:rPr>
              <w:t>Legacy writer shutdown, data mapping, audit/metrics, rollout flags and rollback/runbook rehearsal. DevOps + M01.</w:t>
            </w:r>
          </w:p>
        </w:tc>
      </w:tr>
      <w:tr>
        <w:trPr>
          <w:cantSplit/>
        </w:trPr>
        <w:tc>
          <w:tcPr>
            <w:tcW w:type="dxa" w:w="2376"/>
          </w:tcPr>
          <w:p>
            <w:pPr>
              <w:spacing w:after="60" w:before="40" w:line="240" w:lineRule="auto"/>
            </w:pPr>
            <w:r>
              <w:rPr>
                <w:sz w:val="18"/>
              </w:rPr>
              <w:t>WP08 end to end acceptance</w:t>
            </w:r>
          </w:p>
        </w:tc>
        <w:tc>
          <w:tcPr>
            <w:tcW w:type="dxa" w:w="7488"/>
          </w:tcPr>
          <w:p>
            <w:pPr>
              <w:spacing w:after="60" w:before="40" w:line="240" w:lineRule="auto"/>
            </w:pPr>
            <w:r>
              <w:rPr>
                <w:sz w:val="18"/>
              </w:rPr>
              <w:t>All TSET/NAV/ECFG evidence, multi-tenant concurrency/fault testing, UAT guide and independent review. QA + release owner.</w:t>
            </w:r>
          </w:p>
        </w:tc>
      </w:tr>
    </w:tbl>
    <w:p>
      <w:pPr>
        <w:pStyle w:val="Tenant_Heading2"/>
      </w:pPr>
      <w:r>
        <w:t>Release order</w:t>
      </w:r>
    </w:p>
    <w:p>
      <w:r>
        <w:t>First release the foundation coordination/gates and navigation projection behind controlled rollout, then the typed settings for first-priority M17/M18/M19/M20 and their reporting. Integrate remaining modules by dependency order without making incident engines a prerequisite for optimisation. Within the security incident phase, preserve Sentinel-before-Defender sequencing from the programme. Full completion covers the 23 original engines plus Phase 1 M25 and Phase 1 M24 and their applicable integrated acceptance paths.</w:t>
      </w:r>
    </w:p>
    <w:p>
      <w:pPr>
        <w:pStyle w:val="Tenant_Heading2"/>
      </w:pPr>
      <w:r>
        <w:t>Definition of done</w:t>
      </w:r>
    </w:p>
    <w:p>
      <w:r>
        <w:t>A module’s settings section is complete only when its typed schema, validation, scoped read/edit grants, dependency edges, apply mode, stop/recovery participant, health semantics, UI fields, migrations and ECFG/TSET/NAV evidence exist. Forms with sample values or no job gates are incomplete. Document source hashes, schema/registry versions, feature-flag state, environment and reviewers alongside the release evidence.</w:t>
      </w:r>
    </w:p>
    <w:p>
      <w:pPr>
        <w:pStyle w:val="Tenant_Heading2"/>
      </w:pPr>
      <w:r>
        <w:t>Required project integration checks</w:t>
      </w:r>
    </w:p>
    <w:p>
      <w:r>
        <w:t>The master register calls for named-model independent review and foundation integration checks. This document does not claim that those reviews, repository builds or live provider acceptance have occurred. Retain them as implementation/release gates. Project engineering review reconciles proposed technical contracts before merge.</w:t>
      </w:r>
    </w:p>
    <w:p>
      <w:r>
        <w:br w:type="page"/>
      </w:r>
    </w:p>
    <w:p>
      <w:bookmarkStart w:id="100" w:name="orca_ch_100"/>
      <w:pPr>
        <w:pStyle w:val="DevDecision_Heading1"/>
      </w:pPr>
      <w:r>
        <w:t>Proposed tenant implementation decisions</w:t>
      </w:r>
      <w:bookmarkEnd w:id="100"/>
    </w:p>
    <w:p>
      <w:r>
        <w:t>DEV-D items record implementation proposals and required engineering evidence; they do not reopen the confirmed product decisions. Retained policy and foundation review gates are tracked explicitly below.</w:t>
      </w:r>
    </w:p>
    <w:tbl>
      <w:tblPr>
        <w:tblStyle w:val="Tenant_LightShading-Accent1"/>
        <w:tblW w:type="auto" w:w="0"/>
        <w:tblLayout w:type="fixed"/>
        <w:tblLook w:firstColumn="1" w:firstRow="1" w:lastColumn="0" w:lastRow="0" w:noHBand="0" w:noVBand="1" w:val="04A0"/>
      </w:tblPr>
      <w:tblGrid>
        <w:gridCol w:w="1584"/>
        <w:gridCol w:w="8280"/>
      </w:tblGrid>
      <w:tr>
        <w:trPr>
          <w:tblHeader/>
        </w:trPr>
        <w:tc>
          <w:tcPr>
            <w:tcW w:type="dxa" w:w="1584"/>
          </w:tcPr>
          <w:p>
            <w:r>
              <w:t>ID</w:t>
            </w:r>
          </w:p>
        </w:tc>
        <w:tc>
          <w:tcPr>
            <w:tcW w:type="dxa" w:w="8280"/>
          </w:tcPr>
          <w:p>
            <w:r>
              <w:t>Decision and disposition</w:t>
            </w:r>
          </w:p>
        </w:tc>
      </w:tr>
      <w:tr>
        <w:trPr>
          <w:cantSplit/>
        </w:trPr>
        <w:tc>
          <w:tcPr>
            <w:tcW w:type="dxa" w:w="1584"/>
          </w:tcPr>
          <w:p>
            <w:pPr>
              <w:spacing w:after="60" w:before="40" w:line="240" w:lineRule="auto"/>
            </w:pPr>
            <w:r>
              <w:rPr>
                <w:sz w:val="18"/>
              </w:rPr>
              <w:t>DEV D01</w:t>
            </w:r>
          </w:p>
        </w:tc>
        <w:tc>
          <w:tcPr>
            <w:tcW w:type="dxa" w:w="8280"/>
          </w:tcPr>
          <w:p>
            <w:pPr>
              <w:spacing w:after="60" w:before="40" w:line="240" w:lineRule="auto"/>
            </w:pPr>
            <w:r>
              <w:rPr>
                <w:sz w:val="18"/>
              </w:rPr>
              <w:t>Source-confirmed: Software-based Orca light/dark; M01/M02 mandatory; 23 registry entries; tenant settings and access-based hiding.</w:t>
            </w:r>
          </w:p>
        </w:tc>
      </w:tr>
      <w:tr>
        <w:trPr>
          <w:cantSplit/>
        </w:trPr>
        <w:tc>
          <w:tcPr>
            <w:tcW w:type="dxa" w:w="1584"/>
          </w:tcPr>
          <w:p>
            <w:pPr>
              <w:spacing w:after="60" w:before="40" w:line="240" w:lineRule="auto"/>
            </w:pPr>
            <w:r>
              <w:rPr>
                <w:sz w:val="18"/>
              </w:rPr>
              <w:t>DEV D02</w:t>
            </w:r>
          </w:p>
        </w:tc>
        <w:tc>
          <w:tcPr>
            <w:tcW w:type="dxa" w:w="8280"/>
          </w:tcPr>
          <w:p>
            <w:pPr>
              <w:spacing w:after="60" w:before="40" w:line="240" w:lineRule="auto"/>
            </w:pPr>
            <w:r>
              <w:rPr>
                <w:sz w:val="18"/>
              </w:rPr>
              <w:t>Source-confirmed: operator authority, customer business-record custody, Q8 SLA/private-note/receipt split; supported APIs/exports; no direct DB authority.</w:t>
            </w:r>
          </w:p>
        </w:tc>
      </w:tr>
      <w:tr>
        <w:trPr>
          <w:cantSplit/>
        </w:trPr>
        <w:tc>
          <w:tcPr>
            <w:tcW w:type="dxa" w:w="1584"/>
          </w:tcPr>
          <w:p>
            <w:pPr>
              <w:spacing w:after="60" w:before="40" w:line="240" w:lineRule="auto"/>
            </w:pPr>
            <w:r>
              <w:rPr>
                <w:sz w:val="18"/>
              </w:rPr>
              <w:t>DEV D03</w:t>
            </w:r>
          </w:p>
        </w:tc>
        <w:tc>
          <w:tcPr>
            <w:tcW w:type="dxa" w:w="8280"/>
          </w:tcPr>
          <w:p>
            <w:pPr>
              <w:spacing w:after="60" w:before="40" w:line="240" w:lineRule="auto"/>
            </w:pPr>
            <w:r>
              <w:rPr>
                <w:sz w:val="18"/>
              </w:rPr>
              <w:t>Proposed: separate desired/runtime/health fields, one tenant generation, reviewed expiring plans and an atomic operator-store commit. Reconcile exact types/names with foundation.</w:t>
            </w:r>
          </w:p>
        </w:tc>
      </w:tr>
      <w:tr>
        <w:trPr>
          <w:cantSplit/>
        </w:trPr>
        <w:tc>
          <w:tcPr>
            <w:tcW w:type="dxa" w:w="1584"/>
          </w:tcPr>
          <w:p>
            <w:pPr>
              <w:spacing w:after="60" w:before="40" w:line="240" w:lineRule="auto"/>
            </w:pPr>
            <w:r>
              <w:rPr>
                <w:sz w:val="18"/>
              </w:rPr>
              <w:t>DEV D04</w:t>
            </w:r>
          </w:p>
        </w:tc>
        <w:tc>
          <w:tcPr>
            <w:tcW w:type="dxa" w:w="8280"/>
          </w:tcPr>
          <w:p>
            <w:pPr>
              <w:spacing w:after="60" w:before="40" w:line="240" w:lineRule="auto"/>
            </w:pPr>
            <w:r>
              <w:rPr>
                <w:sz w:val="18"/>
              </w:rPr>
              <w:t>Proposed: API resource prefix, DTOs, configuration keys and new M01 collection names in this document. Register before implementation; do not rename existing collections.</w:t>
            </w:r>
          </w:p>
        </w:tc>
      </w:tr>
      <w:tr>
        <w:trPr>
          <w:cantSplit/>
        </w:trPr>
        <w:tc>
          <w:tcPr>
            <w:tcW w:type="dxa" w:w="1584"/>
          </w:tcPr>
          <w:p>
            <w:pPr>
              <w:spacing w:after="60" w:before="40" w:line="240" w:lineRule="auto"/>
            </w:pPr>
            <w:r>
              <w:rPr>
                <w:sz w:val="18"/>
              </w:rPr>
              <w:t>DEV D05</w:t>
            </w:r>
          </w:p>
        </w:tc>
        <w:tc>
          <w:tcPr>
            <w:tcW w:type="dxa" w:w="8280"/>
          </w:tcPr>
          <w:p>
            <w:pPr>
              <w:spacing w:after="60" w:before="40" w:line="240" w:lineRule="auto"/>
            </w:pPr>
            <w:r>
              <w:rPr>
                <w:sz w:val="18"/>
              </w:rPr>
              <w:t>Proposed: 5-minute plan lifetime, 256 KiB request ceiling, reason/label limits and initial latency targets. Validate with deployment/security/capacity owners.</w:t>
            </w:r>
          </w:p>
        </w:tc>
      </w:tr>
      <w:tr>
        <w:trPr>
          <w:cantSplit/>
        </w:trPr>
        <w:tc>
          <w:tcPr>
            <w:tcW w:type="dxa" w:w="1584"/>
          </w:tcPr>
          <w:p>
            <w:pPr>
              <w:spacing w:after="60" w:before="40" w:line="240" w:lineRule="auto"/>
            </w:pPr>
            <w:r>
              <w:rPr>
                <w:sz w:val="18"/>
              </w:rPr>
              <w:t>DEV D06</w:t>
            </w:r>
          </w:p>
        </w:tc>
        <w:tc>
          <w:tcPr>
            <w:tcW w:type="dxa" w:w="8280"/>
          </w:tcPr>
          <w:p>
            <w:pPr>
              <w:spacing w:after="60" w:before="40" w:line="240" w:lineRule="auto"/>
            </w:pPr>
            <w:r>
              <w:rPr>
                <w:sz w:val="18"/>
              </w:rPr>
              <w:t>Integration gate: current frozen contracts, canonical serializer/hash version, outbox ordering and F5 terminal/retention defaults. Reuse actual source version; never hard-code an older hash version from documentation.</w:t>
            </w:r>
          </w:p>
        </w:tc>
      </w:tr>
      <w:tr>
        <w:trPr>
          <w:cantSplit/>
        </w:trPr>
        <w:tc>
          <w:tcPr>
            <w:tcW w:type="dxa" w:w="1584"/>
          </w:tcPr>
          <w:p>
            <w:pPr>
              <w:spacing w:after="60" w:before="40" w:line="240" w:lineRule="auto"/>
            </w:pPr>
            <w:r>
              <w:rPr>
                <w:sz w:val="18"/>
              </w:rPr>
              <w:t>DEV D07</w:t>
            </w:r>
          </w:p>
        </w:tc>
        <w:tc>
          <w:tcPr>
            <w:tcW w:type="dxa" w:w="8280"/>
          </w:tcPr>
          <w:p>
            <w:pPr>
              <w:spacing w:after="60" w:before="40" w:line="240" w:lineRule="auto"/>
            </w:pPr>
            <w:r>
              <w:rPr>
                <w:sz w:val="18"/>
              </w:rPr>
              <w:t>Configuration input: tenant retention, evaluation thresholds, SLA calendars, operational capacity and provider capability profiles come from versioned approved policy. Unset required policy blocks the capability.</w:t>
            </w:r>
          </w:p>
        </w:tc>
      </w:tr>
      <w:tr>
        <w:trPr>
          <w:cantSplit/>
        </w:trPr>
        <w:tc>
          <w:tcPr>
            <w:tcW w:type="dxa" w:w="1584"/>
          </w:tcPr>
          <w:p>
            <w:pPr>
              <w:spacing w:after="60" w:before="40" w:line="240" w:lineRule="auto"/>
            </w:pPr>
            <w:r>
              <w:rPr>
                <w:sz w:val="18"/>
              </w:rPr>
              <w:t>DEV D08</w:t>
            </w:r>
          </w:p>
        </w:tc>
        <w:tc>
          <w:tcPr>
            <w:tcW w:type="dxa" w:w="8280"/>
          </w:tcPr>
          <w:p>
            <w:pPr>
              <w:spacing w:after="60" w:before="40" w:line="240" w:lineRule="auto"/>
            </w:pPr>
            <w:r>
              <w:rPr>
                <w:sz w:val="18"/>
              </w:rPr>
              <w:t>Permission gap: admit narrow configuration/operation grants where current catalogue lacks them. Until admission, deny edits; no read-to-write inference or wildcard bypass.</w:t>
            </w:r>
          </w:p>
        </w:tc>
      </w:tr>
    </w:tbl>
    <w:p>
      <w:bookmarkStart w:id="101" w:name="orca_ch_101"/>
      <w:pPr>
        <w:pStyle w:val="QHead_Heading1"/>
      </w:pPr>
      <w:r>
        <w:t>Confirmed developer decisions and rationale</w:t>
      </w:r>
      <w:bookmarkEnd w:id="101"/>
    </w:p>
    <w:p>
      <w:r>
        <w:t>The question, explainer and answer records below preserve the confirmed decisions. Their requirements are applied throughout this master, including the custody schedules, canonical roles, theme and release/test corrections. Historical questions quote older labels solely to explain the correction.</w:t>
      </w:r>
    </w:p>
    <w:p>
      <w:bookmarkStart w:id="102" w:name="orca_ch_102"/>
      <w:pPr>
        <w:pStyle w:val="QA_Heading1"/>
      </w:pPr>
      <w:r>
        <w:t>Q1 Duplicate acceptance test identifiers</w:t>
      </w:r>
      <w:bookmarkEnd w:id="102"/>
    </w:p>
    <w:p>
      <w:pPr>
        <w:pStyle w:val="QA_Heading2"/>
      </w:pPr>
      <w:r>
        <w:t>Question</w:t>
      </w:r>
    </w:p>
    <w:p>
      <w:r>
        <w:t>The ITSM acceptance tests use A01 to A15, overlapping the cross-engine outcomes A01 to A16. Should the ITSM tests receive their own series?</w:t>
      </w:r>
    </w:p>
    <w:p>
      <w:pPr>
        <w:pStyle w:val="QA_Heading2"/>
      </w:pPr>
      <w:r>
        <w:t>Explainer</w:t>
      </w:r>
    </w:p>
    <w:p>
      <w:r>
        <w:t>A test identifier must identify one requirement. Without unique IDs, a release record saying A01 passed is ambiguous and could conceal a missing test.</w:t>
      </w:r>
    </w:p>
    <w:p>
      <w:pPr>
        <w:pStyle w:val="QA_Heading2"/>
      </w:pPr>
      <w:r>
        <w:t>Answer</w:t>
      </w:r>
    </w:p>
    <w:p>
      <w:r>
        <w:t>Keep the existing cross-engine IDs and rename the ITSM tests ITSM-A01 to ITSM-A15. Update milestone gates, work packages, test evidence and the traceability register. Retain a mapping from the original labels. The developer’s interim interpretation is correct.</w:t>
      </w:r>
    </w:p>
    <w:p>
      <w:r>
        <w:t>Decision status: Documentation correction; no product input required.</w:t>
      </w:r>
    </w:p>
    <w:p>
      <w:bookmarkStart w:id="103" w:name="orca_ch_103"/>
      <w:pPr>
        <w:pStyle w:val="QA_Heading1"/>
      </w:pPr>
      <w:r>
        <w:t>Q2 Final release coverage of all engines</w:t>
      </w:r>
      <w:bookmarkEnd w:id="103"/>
    </w:p>
    <w:p>
      <w:pPr>
        <w:pStyle w:val="QA_Heading2"/>
      </w:pPr>
      <w:r>
        <w:t>Question</w:t>
      </w:r>
    </w:p>
    <w:p>
      <w:r>
        <w:t>Should R12 replace the remaining references to 20 engines and M01 to M20, add R06T, R06M and R09T dependencies, include an ITSM journey and give M22 an R12 gate?</w:t>
      </w:r>
    </w:p>
    <w:p>
      <w:pPr>
        <w:pStyle w:val="QA_Heading2"/>
      </w:pPr>
      <w:r>
        <w:t>Explainer</w:t>
      </w:r>
    </w:p>
    <w:p>
      <w:r>
        <w:t>The programme now contains 23 engines. Stale release wording could allow final acceptance without accepting mailbox intake or the other ITSM additions. Independent module releases remain possible, but programme completion must cover the whole agreed scope.</w:t>
      </w:r>
    </w:p>
    <w:p>
      <w:pPr>
        <w:pStyle w:val="QA_Heading2"/>
      </w:pPr>
      <w:r>
        <w:t>Answer</w:t>
      </w:r>
    </w:p>
    <w:p>
      <w:r>
        <w:t>Yes. R12 must reconcile M01 to M23 and require the 23 original engines plus Phase 1 M25 and Phase 1 M24’ applicable acceptance criteria. Explicitly include R06T, R06M and R09T in its dependencies and add R12 to M22’s coverage row. Extend the journey to requester submission, mailbox ticket creation, group assignment, public and private conversations, attachment access, SLA tracking, request approval and fulfilment, resolution and closure. Test links to M04 security incidents, M13 changes and M14 problems without automatic cross-record closure. The developer’s interim interpretation is correct.</w:t>
      </w:r>
    </w:p>
    <w:p>
      <w:r>
        <w:t>Decision status: Documentation correction; no product input required.</w:t>
      </w:r>
    </w:p>
    <w:p>
      <w:bookmarkStart w:id="104" w:name="orca_ch_104"/>
      <w:pPr>
        <w:pStyle w:val="QA_Heading1"/>
      </w:pPr>
      <w:r>
        <w:t>Q3 Authoritative Radzen theme</w:t>
      </w:r>
      <w:bookmarkEnd w:id="104"/>
    </w:p>
    <w:p>
      <w:pPr>
        <w:pStyle w:val="QA_Heading2"/>
      </w:pPr>
      <w:r>
        <w:t>Question</w:t>
      </w:r>
    </w:p>
    <w:p>
      <w:r>
        <w:t>Should the scope table, RP 06, V6-T33 and M01 V5 2 require Humanistic, Material or the reportedly approved Orca pair based on Radzen’s free Software theme?</w:t>
      </w:r>
    </w:p>
    <w:p>
      <w:pPr>
        <w:pStyle w:val="QA_Heading2"/>
      </w:pPr>
      <w:r>
        <w:t>Explainer</w:t>
      </w:r>
    </w:p>
    <w:p>
      <w:r>
        <w:t>The visible conversation previously selected Humanistic. The developer reports a later product-owner decision selecting Software-based branded themes. Ashwin has now confirmed Software-based Orca light and dark on 28 October 2026. Inconsistent names should not cause separate skins on the platform and requester portal or an unnecessary rebuild.</w:t>
      </w:r>
    </w:p>
    <w:p>
      <w:pPr>
        <w:pStyle w:val="QA_Heading2"/>
      </w:pPr>
      <w:r>
        <w:t>Answer</w:t>
      </w:r>
    </w:p>
    <w:p>
      <w:r>
        <w:t>Confirmed direction: Orca uses the approved free Radzen Software-based light and dark pair with Orca typography and colour tokens. Supported free themes are available in a picker. Align every platform, portal and acceptance reference to that choice. Verify exact package, theme and font licence eligibility at implementation; this review does not independently certify them. Align the specification with the confirmed Software-based skin; do not require a Humanistic rebuild.</w:t>
      </w:r>
    </w:p>
    <w:p>
      <w:r>
        <w:t>Decision status: Confirmed by Ashwin on 28 October 2026: Software-based Orca light and dark. Replace the conflicting Humanistic and Material defaults.</w:t>
      </w:r>
    </w:p>
    <w:p>
      <w:bookmarkStart w:id="105" w:name="orca_ch_105"/>
      <w:pPr>
        <w:pStyle w:val="QA_Heading1"/>
      </w:pPr>
      <w:r>
        <w:t>Q4 Optimisation record placement</w:t>
      </w:r>
      <w:bookmarkEnd w:id="105"/>
    </w:p>
    <w:p>
      <w:pPr>
        <w:pStyle w:val="QA_Heading2"/>
      </w:pPr>
      <w:r>
        <w:t>Question</w:t>
      </w:r>
    </w:p>
    <w:p>
      <w:r>
        <w:t>Does “all records stay in the tenant database” override M17’s customer and operator storage split? Which M17 and M18 records belong in each store?</w:t>
      </w:r>
    </w:p>
    <w:p>
      <w:pPr>
        <w:pStyle w:val="QA_Heading2"/>
      </w:pPr>
      <w:r>
        <w:t>Explainer</w:t>
      </w:r>
    </w:p>
    <w:p>
      <w:r>
        <w:t>Customer business data and operational authority have different trust requirements. A customer-side approval field cannot authorise execution merely because someone edits it. Each operator-held tenant database must still be isolated by tenant; operator-held does not mean a shared unscoped record pool.</w:t>
      </w:r>
    </w:p>
    <w:p>
      <w:pPr>
        <w:pStyle w:val="QA_Heading2"/>
      </w:pPr>
      <w:r>
        <w:t>Answer</w:t>
      </w:r>
    </w:p>
    <w:p>
      <w:r>
        <w:t>Delete the blanket sentence and apply the general custody rule. Use the allocation below for M17 and M18 consistently with the approved customer and operator storage boundary in Q8. Business records can reference operator-held approvals and receipts, but execution must validate the trusted authority record. Module design briefs implement this common rule rather than choosing independent trust models.</w:t>
      </w:r>
    </w:p>
    <w:p>
      <w:r>
        <w:t>Decision status: Answered. Apply the common split-store rule and the mapping below; Q8 storage approval was confirmed by Ashwin on 29 October 2026.</w:t>
      </w:r>
    </w:p>
    <w:tbl>
      <w:tblPr>
        <w:tblW w:type="auto" w:w="0"/>
        <w:tblLayout w:type="fixed"/>
        <w:tblLook w:firstColumn="1" w:firstRow="1" w:lastColumn="0" w:lastRow="0" w:noHBand="0" w:noVBand="1" w:val="04A0"/>
      </w:tblPr>
      <w:tblGrid>
        <w:gridCol w:w="5040"/>
        <w:gridCol w:w="5040"/>
      </w:tblGrid>
      <w:tr>
        <w:trPr>
          <w:cantSplit/>
          <w:tblHeader/>
        </w:trPr>
        <w:tc>
          <w:tcPr>
            <w:tcW w:type="dxa" w:w="5040"/>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Customer operational database</w:t>
            </w:r>
          </w:p>
        </w:tc>
        <w:tc>
          <w:tcPr>
            <w:tcW w:type="dxa" w:w="5040"/>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Operator held tenant database</w:t>
            </w:r>
          </w:p>
        </w:tc>
      </w:tr>
      <w:tr>
        <w:trPr>
          <w:cantSplit/>
        </w:trPr>
        <w:tc>
          <w:tcPr>
            <w:tcW w:type="dxa" w:w="5040"/>
            <w:shd w:fill="F1F5F7"/>
            <w:tcBorders>
              <w:top w:val="single" w:sz="4" w:color="D9D9D9"/>
              <w:left w:val="single" w:sz="4" w:color="D9D9D9"/>
              <w:bottom w:val="single" w:sz="4" w:color="D9D9D9"/>
              <w:right w:val="single" w:sz="4" w:color="D9D9D9"/>
            </w:tcBorders>
            <w:vAlign w:val="center"/>
          </w:tcPr>
          <w:p>
            <w:pPr>
              <w:spacing w:before="80" w:after="80"/>
            </w:pPr>
            <w:r>
              <w:rPr>
                <w:sz w:val="20"/>
              </w:rPr>
              <w:t>Resource, user and licence inventory snapshots</w:t>
            </w:r>
          </w:p>
        </w:tc>
        <w:tc>
          <w:tcPr>
            <w:tcW w:type="dxa" w:w="5040"/>
            <w:shd w:fill="F1F5F7"/>
            <w:tcBorders>
              <w:top w:val="single" w:sz="4" w:color="D9D9D9"/>
              <w:left w:val="single" w:sz="4" w:color="D9D9D9"/>
              <w:bottom w:val="single" w:sz="4" w:color="D9D9D9"/>
              <w:right w:val="single" w:sz="4" w:color="D9D9D9"/>
            </w:tcBorders>
            <w:vAlign w:val="center"/>
          </w:tcPr>
          <w:p>
            <w:pPr>
              <w:spacing w:before="80" w:after="80"/>
            </w:pPr>
            <w:r>
              <w:rPr>
                <w:sz w:val="20"/>
              </w:rPr>
              <w:t>Connector configuration, secret references and checkpoints</w:t>
            </w:r>
          </w:p>
        </w:tc>
      </w:tr>
      <w:tr>
        <w:trPr>
          <w:cantSplit/>
        </w:trPr>
        <w:tc>
          <w:tcPr>
            <w:tcW w:type="dxa" w:w="5040"/>
            <w:shd w:fill="FFFFFF"/>
            <w:tcBorders>
              <w:top w:val="single" w:sz="4" w:color="D9D9D9"/>
              <w:left w:val="single" w:sz="4" w:color="D9D9D9"/>
              <w:bottom w:val="single" w:sz="4" w:color="D9D9D9"/>
              <w:right w:val="single" w:sz="4" w:color="D9D9D9"/>
            </w:tcBorders>
            <w:vAlign w:val="center"/>
          </w:tcPr>
          <w:p>
            <w:pPr>
              <w:spacing w:before="80" w:after="80"/>
            </w:pPr>
            <w:r>
              <w:rPr>
                <w:sz w:val="20"/>
              </w:rPr>
              <w:t>Cost, utilisation and activity observations</w:t>
            </w:r>
          </w:p>
        </w:tc>
        <w:tc>
          <w:tcPr>
            <w:tcW w:type="dxa" w:w="5040"/>
            <w:shd w:fill="FFFFFF"/>
            <w:tcBorders>
              <w:top w:val="single" w:sz="4" w:color="D9D9D9"/>
              <w:left w:val="single" w:sz="4" w:color="D9D9D9"/>
              <w:bottom w:val="single" w:sz="4" w:color="D9D9D9"/>
              <w:right w:val="single" w:sz="4" w:color="D9D9D9"/>
            </w:tcBorders>
            <w:vAlign w:val="center"/>
          </w:tcPr>
          <w:p>
            <w:pPr>
              <w:spacing w:before="80" w:after="80"/>
            </w:pPr>
            <w:r>
              <w:rPr>
                <w:sz w:val="20"/>
              </w:rPr>
              <w:t>Permission and access-policy decisions</w:t>
            </w:r>
          </w:p>
        </w:tc>
      </w:tr>
      <w:tr>
        <w:trPr>
          <w:cantSplit/>
        </w:trPr>
        <w:tc>
          <w:tcPr>
            <w:tcW w:type="dxa" w:w="5040"/>
            <w:shd w:fill="F1F5F7"/>
            <w:tcBorders>
              <w:top w:val="single" w:sz="4" w:color="D9D9D9"/>
              <w:left w:val="single" w:sz="4" w:color="D9D9D9"/>
              <w:bottom w:val="single" w:sz="4" w:color="D9D9D9"/>
              <w:right w:val="single" w:sz="4" w:color="D9D9D9"/>
            </w:tcBorders>
            <w:vAlign w:val="center"/>
          </w:tcPr>
          <w:p>
            <w:pPr>
              <w:spacing w:before="80" w:after="80"/>
            </w:pPr>
            <w:r>
              <w:rPr>
                <w:sz w:val="20"/>
              </w:rPr>
              <w:t>Recommendations and savings scenarios</w:t>
            </w:r>
          </w:p>
        </w:tc>
        <w:tc>
          <w:tcPr>
            <w:tcW w:type="dxa" w:w="5040"/>
            <w:shd w:fill="F1F5F7"/>
            <w:tcBorders>
              <w:top w:val="single" w:sz="4" w:color="D9D9D9"/>
              <w:left w:val="single" w:sz="4" w:color="D9D9D9"/>
              <w:bottom w:val="single" w:sz="4" w:color="D9D9D9"/>
              <w:right w:val="single" w:sz="4" w:color="D9D9D9"/>
            </w:tcBorders>
            <w:vAlign w:val="center"/>
          </w:tcPr>
          <w:p>
            <w:pPr>
              <w:spacing w:before="80" w:after="80"/>
            </w:pPr>
            <w:r>
              <w:rPr>
                <w:sz w:val="20"/>
              </w:rPr>
              <w:t>Authoritative approval decisions</w:t>
            </w:r>
          </w:p>
        </w:tc>
      </w:tr>
      <w:tr>
        <w:trPr>
          <w:cantSplit/>
        </w:trPr>
        <w:tc>
          <w:tcPr>
            <w:tcW w:type="dxa" w:w="5040"/>
            <w:shd w:fill="FFFFFF"/>
            <w:tcBorders>
              <w:top w:val="single" w:sz="4" w:color="D9D9D9"/>
              <w:left w:val="single" w:sz="4" w:color="D9D9D9"/>
              <w:bottom w:val="single" w:sz="4" w:color="D9D9D9"/>
              <w:right w:val="single" w:sz="4" w:color="D9D9D9"/>
            </w:tcBorders>
            <w:vAlign w:val="center"/>
          </w:tcPr>
          <w:p>
            <w:pPr>
              <w:spacing w:before="80" w:after="80"/>
            </w:pPr>
            <w:r>
              <w:rPr>
                <w:sz w:val="20"/>
              </w:rPr>
              <w:t>Customer-facing reviews and business decisions</w:t>
            </w:r>
          </w:p>
        </w:tc>
        <w:tc>
          <w:tcPr>
            <w:tcW w:type="dxa" w:w="5040"/>
            <w:shd w:fill="FFFFFF"/>
            <w:tcBorders>
              <w:top w:val="single" w:sz="4" w:color="D9D9D9"/>
              <w:left w:val="single" w:sz="4" w:color="D9D9D9"/>
              <w:bottom w:val="single" w:sz="4" w:color="D9D9D9"/>
              <w:right w:val="single" w:sz="4" w:color="D9D9D9"/>
            </w:tcBorders>
            <w:vAlign w:val="center"/>
          </w:tcPr>
          <w:p>
            <w:pPr>
              <w:spacing w:before="80" w:after="80"/>
            </w:pPr>
            <w:r>
              <w:rPr>
                <w:sz w:val="20"/>
              </w:rPr>
              <w:t>Command intents, execution receipts and outcomes</w:t>
            </w:r>
          </w:p>
        </w:tc>
      </w:tr>
      <w:tr>
        <w:trPr>
          <w:cantSplit/>
        </w:trPr>
        <w:tc>
          <w:tcPr>
            <w:tcW w:type="dxa" w:w="5040"/>
            <w:shd w:fill="F1F5F7"/>
            <w:tcBorders>
              <w:top w:val="single" w:sz="4" w:color="D9D9D9"/>
              <w:left w:val="single" w:sz="4" w:color="D9D9D9"/>
              <w:bottom w:val="single" w:sz="4" w:color="D9D9D9"/>
              <w:right w:val="single" w:sz="4" w:color="D9D9D9"/>
            </w:tcBorders>
            <w:vAlign w:val="center"/>
          </w:tcPr>
          <w:p>
            <w:pPr>
              <w:spacing w:before="80" w:after="80"/>
            </w:pPr>
            <w:r>
              <w:rPr>
                <w:sz w:val="20"/>
              </w:rPr>
              <w:t>Customer-visible verification results</w:t>
            </w:r>
          </w:p>
        </w:tc>
        <w:tc>
          <w:tcPr>
            <w:tcW w:type="dxa" w:w="5040"/>
            <w:shd w:fill="F1F5F7"/>
            <w:tcBorders>
              <w:top w:val="single" w:sz="4" w:color="D9D9D9"/>
              <w:left w:val="single" w:sz="4" w:color="D9D9D9"/>
              <w:bottom w:val="single" w:sz="4" w:color="D9D9D9"/>
              <w:right w:val="single" w:sz="4" w:color="D9D9D9"/>
            </w:tcBorders>
            <w:vAlign w:val="center"/>
          </w:tcPr>
          <w:p>
            <w:pPr>
              <w:spacing w:before="80" w:after="80"/>
            </w:pPr>
            <w:r>
              <w:rPr>
                <w:sz w:val="20"/>
              </w:rPr>
              <w:t>Trusted operational audit and verification receipts</w:t>
            </w:r>
          </w:p>
        </w:tc>
      </w:tr>
    </w:tbl>
    <w:p/>
    <w:p>
      <w:bookmarkStart w:id="106" w:name="orca_ch_106"/>
      <w:pPr>
        <w:pStyle w:val="QA_Heading1"/>
      </w:pPr>
      <w:r>
        <w:t>Q5 Requester meaning and duplicate roles</w:t>
      </w:r>
      <w:bookmarkEnd w:id="106"/>
    </w:p>
    <w:p>
      <w:pPr>
        <w:pStyle w:val="QA_Heading2"/>
      </w:pPr>
      <w:r>
        <w:t>Question</w:t>
      </w:r>
    </w:p>
    <w:p>
      <w:r>
        <w:t>Should Customer.Requester cover both SOC and ITSM requests? Should Problem.Manager and Change.Manager differ from Problem.Manager and Change.Manager? How should differing permission examples be reconciled?</w:t>
      </w:r>
    </w:p>
    <w:p>
      <w:pPr>
        <w:pStyle w:val="QA_Heading2"/>
      </w:pPr>
      <w:r>
        <w:t>Explainer</w:t>
      </w:r>
    </w:p>
    <w:p>
      <w:r>
        <w:t>Reporting a suspected security issue is different from managing an authoritative SOC incident. Duplicate templates with equivalent names create permission drift. Permission examples must not silently introduce IDs absent from the canonical catalogue.</w:t>
      </w:r>
    </w:p>
    <w:p>
      <w:pPr>
        <w:pStyle w:val="QA_Heading2"/>
      </w:pPr>
      <w:r>
        <w:t>Answer</w:t>
      </w:r>
    </w:p>
    <w:p>
      <w:r>
        <w:t>Answer: use one Customer.Requester role for scoped technical incidents, service requests and reporting suspected security issues through M23. An authorised analyst creates or links the M04 security incident after triage. Requester access does not grant the SOC board or direct M04 management rights. Reuse Problem.Manager and Change.Manager and remove the duplicate ITSM templates, mapping old labels to the canonical roles. Publish one canonical permission catalogue and reconcile all examples, role templates and matrix seeds against it. For clarity, one requester role does not imply unrestricted creation of both incident types.</w:t>
      </w:r>
    </w:p>
    <w:p>
      <w:r>
        <w:t>Decision status: Answered technical clarification. Requesters report suspected security issues; authorised analysts create or link M04 security incidents after triage. No direct requester creation of M04 is included.</w:t>
      </w:r>
    </w:p>
    <w:p>
      <w:bookmarkStart w:id="107" w:name="orca_ch_107"/>
      <w:pPr>
        <w:pStyle w:val="QA_Heading1"/>
      </w:pPr>
      <w:r>
        <w:t>Q6 Release dependencies for ITSM tests</w:t>
      </w:r>
      <w:bookmarkEnd w:id="107"/>
    </w:p>
    <w:p>
      <w:pPr>
        <w:pStyle w:val="QA_Heading2"/>
      </w:pPr>
      <w:r>
        <w:t>Question</w:t>
      </w:r>
    </w:p>
    <w:p>
      <w:r>
        <w:t>How can R06T require ITSM-A06 mailbox convergence and ITSM-A08 off-shift fallback when mailbox intake arrives at R06M and the shift engine at R08?</w:t>
      </w:r>
    </w:p>
    <w:p>
      <w:pPr>
        <w:pStyle w:val="QA_Heading2"/>
      </w:pPr>
      <w:r>
        <w:t>Explainer</w:t>
      </w:r>
    </w:p>
    <w:p>
      <w:r>
        <w:t>A release gate should test delivered capabilities. A dependent clause may move to a named later gate, but must not be treated as passed or disappear from acceptance. A minimal group model must not become a separate ITSM identity directory.</w:t>
      </w:r>
    </w:p>
    <w:p>
      <w:pPr>
        <w:pStyle w:val="QA_Heading2"/>
      </w:pPr>
      <w:r>
        <w:t>Answer</w:t>
      </w:r>
    </w:p>
    <w:p>
      <w:r>
        <w:t>Accept the proposed sequencing. R06T tests portal creation, basic workflow and eligible group assignment using the shared platform/UAM group registry. R06M tests mailbox and portal convergence. Split ITSM-A08 into basic group eligibility at R06T and shift-aware fallback at R09T after M09 acceptance. R12 verifies the integrated journey. Update both I2/I3 work-package gates and the release matrix.</w:t>
      </w:r>
    </w:p>
    <w:p>
      <w:r>
        <w:t>Decision status: Documentation and traceability correction; no product input required.</w:t>
      </w:r>
    </w:p>
    <w:tbl>
      <w:tblPr>
        <w:tblW w:type="auto" w:w="0"/>
        <w:tblLayout w:type="fixed"/>
        <w:tblLook w:firstColumn="1" w:firstRow="1" w:lastColumn="0" w:lastRow="0" w:noHBand="0" w:noVBand="1" w:val="04A0"/>
      </w:tblPr>
      <w:tblGrid>
        <w:gridCol w:w="5040"/>
        <w:gridCol w:w="5040"/>
      </w:tblGrid>
      <w:tr>
        <w:trPr>
          <w:cantSplit/>
          <w:tblHeader/>
        </w:trPr>
        <w:tc>
          <w:tcPr>
            <w:tcW w:type="dxa" w:w="7344"/>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Capability</w:t>
            </w:r>
          </w:p>
        </w:tc>
        <w:tc>
          <w:tcPr>
            <w:tcW w:type="dxa" w:w="2736"/>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Acceptance gate</w:t>
            </w:r>
          </w:p>
        </w:tc>
      </w:tr>
      <w:tr>
        <w:trPr>
          <w:cantSplit/>
        </w:trPr>
        <w:tc>
          <w:tcPr>
            <w:tcW w:type="dxa" w:w="7344"/>
            <w:shd w:fill="F1F5F7"/>
            <w:tcBorders>
              <w:top w:val="single" w:sz="4" w:color="D9D9D9"/>
              <w:left w:val="single" w:sz="4" w:color="D9D9D9"/>
              <w:bottom w:val="single" w:sz="4" w:color="D9D9D9"/>
              <w:right w:val="single" w:sz="4" w:color="D9D9D9"/>
            </w:tcBorders>
            <w:vAlign w:val="center"/>
          </w:tcPr>
          <w:p>
            <w:pPr>
              <w:spacing w:before="80" w:after="80"/>
            </w:pPr>
            <w:r>
              <w:rPr>
                <w:sz w:val="20"/>
              </w:rPr>
              <w:t>Portal, basic workflow and group assignment</w:t>
            </w:r>
          </w:p>
        </w:tc>
        <w:tc>
          <w:tcPr>
            <w:tcW w:type="dxa" w:w="2736"/>
            <w:shd w:fill="F1F5F7"/>
            <w:tcBorders>
              <w:top w:val="single" w:sz="4" w:color="D9D9D9"/>
              <w:left w:val="single" w:sz="4" w:color="D9D9D9"/>
              <w:bottom w:val="single" w:sz="4" w:color="D9D9D9"/>
              <w:right w:val="single" w:sz="4" w:color="D9D9D9"/>
            </w:tcBorders>
            <w:vAlign w:val="center"/>
          </w:tcPr>
          <w:p>
            <w:pPr>
              <w:spacing w:before="80" w:after="80"/>
            </w:pPr>
            <w:r>
              <w:rPr>
                <w:sz w:val="20"/>
              </w:rPr>
              <w:t>R06T</w:t>
            </w:r>
          </w:p>
        </w:tc>
      </w:tr>
      <w:tr>
        <w:trPr>
          <w:cantSplit/>
        </w:trPr>
        <w:tc>
          <w:tcPr>
            <w:tcW w:type="dxa" w:w="7344"/>
            <w:shd w:fill="FFFFFF"/>
            <w:tcBorders>
              <w:top w:val="single" w:sz="4" w:color="D9D9D9"/>
              <w:left w:val="single" w:sz="4" w:color="D9D9D9"/>
              <w:bottom w:val="single" w:sz="4" w:color="D9D9D9"/>
              <w:right w:val="single" w:sz="4" w:color="D9D9D9"/>
            </w:tcBorders>
            <w:vAlign w:val="center"/>
          </w:tcPr>
          <w:p>
            <w:pPr>
              <w:spacing w:before="80" w:after="80"/>
            </w:pPr>
            <w:r>
              <w:rPr>
                <w:sz w:val="20"/>
              </w:rPr>
              <w:t>Mailbox and portal tickets on the same board</w:t>
            </w:r>
          </w:p>
        </w:tc>
        <w:tc>
          <w:tcPr>
            <w:tcW w:type="dxa" w:w="2736"/>
            <w:shd w:fill="FFFFFF"/>
            <w:tcBorders>
              <w:top w:val="single" w:sz="4" w:color="D9D9D9"/>
              <w:left w:val="single" w:sz="4" w:color="D9D9D9"/>
              <w:bottom w:val="single" w:sz="4" w:color="D9D9D9"/>
              <w:right w:val="single" w:sz="4" w:color="D9D9D9"/>
            </w:tcBorders>
            <w:vAlign w:val="center"/>
          </w:tcPr>
          <w:p>
            <w:pPr>
              <w:spacing w:before="80" w:after="80"/>
            </w:pPr>
            <w:r>
              <w:rPr>
                <w:sz w:val="20"/>
              </w:rPr>
              <w:t>R06M</w:t>
            </w:r>
          </w:p>
        </w:tc>
      </w:tr>
      <w:tr>
        <w:trPr>
          <w:cantSplit/>
        </w:trPr>
        <w:tc>
          <w:tcPr>
            <w:tcW w:type="dxa" w:w="7344"/>
            <w:shd w:fill="F1F5F7"/>
            <w:tcBorders>
              <w:top w:val="single" w:sz="4" w:color="D9D9D9"/>
              <w:left w:val="single" w:sz="4" w:color="D9D9D9"/>
              <w:bottom w:val="single" w:sz="4" w:color="D9D9D9"/>
              <w:right w:val="single" w:sz="4" w:color="D9D9D9"/>
            </w:tcBorders>
            <w:vAlign w:val="center"/>
          </w:tcPr>
          <w:p>
            <w:pPr>
              <w:spacing w:before="80" w:after="80"/>
            </w:pPr>
            <w:r>
              <w:rPr>
                <w:sz w:val="20"/>
              </w:rPr>
              <w:t>Shift-aware routing and off-shift fallback</w:t>
            </w:r>
          </w:p>
        </w:tc>
        <w:tc>
          <w:tcPr>
            <w:tcW w:type="dxa" w:w="2736"/>
            <w:shd w:fill="F1F5F7"/>
            <w:tcBorders>
              <w:top w:val="single" w:sz="4" w:color="D9D9D9"/>
              <w:left w:val="single" w:sz="4" w:color="D9D9D9"/>
              <w:bottom w:val="single" w:sz="4" w:color="D9D9D9"/>
              <w:right w:val="single" w:sz="4" w:color="D9D9D9"/>
            </w:tcBorders>
            <w:vAlign w:val="center"/>
          </w:tcPr>
          <w:p>
            <w:pPr>
              <w:spacing w:before="80" w:after="80"/>
            </w:pPr>
            <w:r>
              <w:rPr>
                <w:sz w:val="20"/>
              </w:rPr>
              <w:t>R09T after M09 acceptance</w:t>
            </w:r>
          </w:p>
        </w:tc>
      </w:tr>
      <w:tr>
        <w:trPr>
          <w:cantSplit/>
        </w:trPr>
        <w:tc>
          <w:tcPr>
            <w:tcW w:type="dxa" w:w="7344"/>
            <w:shd w:fill="FFFFFF"/>
            <w:tcBorders>
              <w:top w:val="single" w:sz="4" w:color="D9D9D9"/>
              <w:left w:val="single" w:sz="4" w:color="D9D9D9"/>
              <w:bottom w:val="single" w:sz="4" w:color="D9D9D9"/>
              <w:right w:val="single" w:sz="4" w:color="D9D9D9"/>
            </w:tcBorders>
            <w:vAlign w:val="center"/>
          </w:tcPr>
          <w:p>
            <w:pPr>
              <w:spacing w:before="80" w:after="80"/>
            </w:pPr>
            <w:r>
              <w:rPr>
                <w:sz w:val="20"/>
              </w:rPr>
              <w:t>Complete integrated journey</w:t>
            </w:r>
          </w:p>
        </w:tc>
        <w:tc>
          <w:tcPr>
            <w:tcW w:type="dxa" w:w="2736"/>
            <w:shd w:fill="FFFFFF"/>
            <w:tcBorders>
              <w:top w:val="single" w:sz="4" w:color="D9D9D9"/>
              <w:left w:val="single" w:sz="4" w:color="D9D9D9"/>
              <w:bottom w:val="single" w:sz="4" w:color="D9D9D9"/>
              <w:right w:val="single" w:sz="4" w:color="D9D9D9"/>
            </w:tcBorders>
            <w:vAlign w:val="center"/>
          </w:tcPr>
          <w:p>
            <w:pPr>
              <w:spacing w:before="80" w:after="80"/>
            </w:pPr>
            <w:r>
              <w:rPr>
                <w:sz w:val="20"/>
              </w:rPr>
              <w:t>R12</w:t>
            </w:r>
          </w:p>
        </w:tc>
      </w:tr>
    </w:tbl>
    <w:p/>
    <w:p>
      <w:bookmarkStart w:id="108" w:name="orca_ch_108"/>
      <w:pPr>
        <w:pStyle w:val="QA_Heading1"/>
      </w:pPr>
      <w:r>
        <w:t>Q7 Historical references and numbering</w:t>
      </w:r>
      <w:bookmarkEnd w:id="108"/>
    </w:p>
    <w:p>
      <w:pPr>
        <w:pStyle w:val="QA_Heading2"/>
      </w:pPr>
      <w:r>
        <w:t>Question</w:t>
      </w:r>
    </w:p>
    <w:p>
      <w:r>
        <w:t>How should stale v5 wording, an omitted findings register, V6-S11 to S14, V6-T30 to T33 and R1 to R10 be reconciled?</w:t>
      </w:r>
    </w:p>
    <w:p>
      <w:pPr>
        <w:pStyle w:val="QA_Heading2"/>
      </w:pPr>
      <w:r>
        <w:t>Explainer</w:t>
      </w:r>
    </w:p>
    <w:p>
      <w:r>
        <w:t>Numbering gaps are not inherently a defect. Unresolvable references and unclear acceptance obligations are defects. Renumbering without preserving a mapping can invalidate existing development evidence.</w:t>
      </w:r>
    </w:p>
    <w:p>
      <w:pPr>
        <w:pStyle w:val="QA_Heading2"/>
      </w:pPr>
      <w:r>
        <w:t>Answer</w:t>
      </w:r>
    </w:p>
    <w:p>
      <w:r>
        <w:t>Replace stale version wording. Carry forward any unresolved historical findings required for acceptance with their owner, status, disposition and test references. Use one research-reference namespace, such as REF-001, and distinct test namespaces for cross-engine, ITSM and integration tests. Provide a legacy-to-current mapping and update every link. Do not invent missing entries to fill numerical gaps. R12 requires the current carried-forward finding tests to pass or a formally approved scope disposition; referring vaguely to all v5 tests is insufficient.</w:t>
      </w:r>
    </w:p>
    <w:p>
      <w:r>
        <w:t>Decision status: Documentation correction; no product input required.</w:t>
      </w:r>
    </w:p>
    <w:p>
      <w:bookmarkStart w:id="109" w:name="orca_ch_109"/>
      <w:pPr>
        <w:pStyle w:val="QA_Heading1"/>
      </w:pPr>
      <w:r>
        <w:t>Q8 ITSM storage ownership and direct access</w:t>
      </w:r>
      <w:bookmarkEnd w:id="109"/>
    </w:p>
    <w:p>
      <w:pPr>
        <w:pStyle w:val="QA_Heading2"/>
      </w:pPr>
      <w:r>
        <w:t>Question</w:t>
      </w:r>
    </w:p>
    <w:p>
      <w:r>
        <w:t>Q8a: Where are tickets, public conversation entries, tasks, catalogue items, knowledge articles, private notes, approvals, intake receipts, delta checkpoints, connector configuration, the SLA clock ledger and satisfaction surveys stored? Q8b: Does “approved ticket facts” exclude drafts, pending transitions and unverified intake? Q8c: At offboarding, does the customer retain database records or receive only an export? Q8d: Is direct customer database reading a supported contract?</w:t>
      </w:r>
    </w:p>
    <w:p>
      <w:pPr>
        <w:pStyle w:val="QA_Heading2"/>
      </w:pPr>
      <w:r>
        <w:t>Explainer</w:t>
      </w:r>
    </w:p>
    <w:p>
      <w:r>
        <w:t>This affects the initial write model, the customer’s exit rights and the boundary between editable business data and trusted authority. A customer may control its Atlas cluster, so Orca cannot treat customer-side data as tamper-proof. Operator-held authority and reconciliation protect execution decisions. Timeline responses can combine both stores, but must exclude private records before returning a requester response.</w:t>
      </w:r>
    </w:p>
    <w:p>
      <w:pPr>
        <w:pStyle w:val="QA_Heading2"/>
      </w:pPr>
      <w:r>
        <w:t>Answer</w:t>
      </w:r>
    </w:p>
    <w:p>
      <w:r>
        <w:t>The following allocation is confirmed. Ashwin approved the proposed Q8 split on 29 October 2026, including the operator-held authoritative SLA ledger and temporary requester drafts. Apply this storage schedule throughout the current master. Every cross-store operation uses the existing Intent, proof and Outcome protocol; an unconfirmed operation is not a confirmed business change.</w:t>
      </w:r>
    </w:p>
    <w:tbl>
      <w:tblPr>
        <w:tblW w:type="auto" w:w="0"/>
        <w:tblLayout w:type="fixed"/>
        <w:tblLook w:firstColumn="1" w:firstRow="1" w:lastColumn="0" w:lastRow="0" w:noHBand="0" w:noVBand="1" w:val="04A0"/>
      </w:tblPr>
      <w:tblGrid>
        <w:gridCol w:w="5040"/>
        <w:gridCol w:w="5040"/>
      </w:tblGrid>
      <w:tr>
        <w:trPr>
          <w:cantSplit/>
          <w:tblHeader/>
        </w:trPr>
        <w:tc>
          <w:tcPr>
            <w:tcW w:type="dxa" w:w="3816"/>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Record type</w:t>
            </w:r>
          </w:p>
        </w:tc>
        <w:tc>
          <w:tcPr>
            <w:tcW w:type="dxa" w:w="6264"/>
            <w:shd w:fill="173E50"/>
            <w:tcBorders>
              <w:top w:val="single" w:sz="4" w:color="D9D9D9"/>
              <w:left w:val="single" w:sz="4" w:color="D9D9D9"/>
              <w:bottom w:val="single" w:sz="4" w:color="D9D9D9"/>
              <w:right w:val="single" w:sz="4" w:color="D9D9D9"/>
            </w:tcBorders>
            <w:vAlign w:val="center"/>
          </w:tcPr>
          <w:p>
            <w:r>
              <w:rPr>
                <w:b/>
                <w:color w:val="FFFFFF"/>
                <w:sz w:val="20"/>
              </w:rPr>
              <w:t>Confirmed authoritative location</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Tickets and committed ticket state</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Customer operational database</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Public conversation entries</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Customer operational database</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Fulfilment tasks</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Customer operational database; execution authority and receipts remain operator-held</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Tenant request catalogue and service definitions</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Customer operational database; trusted approval policy enforcement remains operator-held</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Customer knowledge articles</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Customer operational or content database; audience and publication rules enforced by Orca</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Private analyst notes</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Authoritative approval decisions</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Mail intake and deduplication receipts</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Delta checkpoints and processing leases</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Mailbox connector configuration</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 secrets in Key Vault; safe configuration projection for authorised users</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Authoritative SLA clock ledger</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 derived deadlines and breach summaries on customer tickets</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Satisfaction survey responses</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Customer operational database with privacy and retention controls</w:t>
            </w:r>
          </w:p>
        </w:tc>
      </w:tr>
      <w:tr>
        <w:trPr>
          <w:cantSplit/>
        </w:trPr>
        <w:tc>
          <w:tcPr>
            <w:tcW w:type="dxa" w:w="3816"/>
            <w:shd w:fill="F1F5F7"/>
            <w:tcBorders>
              <w:top w:val="single" w:sz="4" w:color="D9D9D9"/>
              <w:left w:val="single" w:sz="4" w:color="D9D9D9"/>
              <w:bottom w:val="single" w:sz="4" w:color="D9D9D9"/>
              <w:right w:val="single" w:sz="4" w:color="D9D9D9"/>
            </w:tcBorders>
            <w:vAlign w:val="center"/>
          </w:tcPr>
          <w:p>
            <w:pPr>
              <w:spacing w:before="80" w:after="80"/>
            </w:pPr>
            <w:r>
              <w:rPr>
                <w:sz w:val="20"/>
              </w:rPr>
              <w:t>Saved requester drafts</w:t>
            </w:r>
          </w:p>
        </w:tc>
        <w:tc>
          <w:tcPr>
            <w:tcW w:type="dxa" w:w="6264"/>
            <w:shd w:fill="F1F5F7"/>
            <w:tcBorders>
              <w:top w:val="single" w:sz="4" w:color="D9D9D9"/>
              <w:left w:val="single" w:sz="4" w:color="D9D9D9"/>
              <w:bottom w:val="single" w:sz="4" w:color="D9D9D9"/>
              <w:right w:val="single" w:sz="4" w:color="D9D9D9"/>
            </w:tcBorders>
            <w:vAlign w:val="center"/>
          </w:tcPr>
          <w:p>
            <w:r>
              <w:t>Operator-held user-private staging with expiry</w:t>
            </w:r>
          </w:p>
        </w:tc>
      </w:tr>
      <w:tr>
        <w:trPr>
          <w:cantSplit/>
        </w:trPr>
        <w:tc>
          <w:tcPr>
            <w:tcW w:type="dxa" w:w="3816"/>
            <w:shd w:fill="FFFFFF"/>
            <w:tcBorders>
              <w:top w:val="single" w:sz="4" w:color="D9D9D9"/>
              <w:left w:val="single" w:sz="4" w:color="D9D9D9"/>
              <w:bottom w:val="single" w:sz="4" w:color="D9D9D9"/>
              <w:right w:val="single" w:sz="4" w:color="D9D9D9"/>
            </w:tcBorders>
            <w:vAlign w:val="center"/>
          </w:tcPr>
          <w:p>
            <w:pPr>
              <w:spacing w:before="80" w:after="80"/>
            </w:pPr>
            <w:r>
              <w:rPr>
                <w:sz w:val="20"/>
              </w:rPr>
              <w:t>Pending transitions and commands</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Operator-held tenant database until confirmed</w:t>
            </w:r>
          </w:p>
        </w:tc>
      </w:tr>
    </w:tbl>
    <w:p/>
    <w:p>
      <w:r>
        <w:t>Q8b answer: replace “approved ticket facts” with “committed business records.” A normal validated ticket does not need human approval to exist. Drafts are not live tickets; pending commands and unverified intake must not overwrite confirmed state. Keep unverified evidence and processing status operator-side until validation and commit complete.</w:t>
      </w:r>
    </w:p>
    <w:p>
      <w:r>
        <w:t>Q8c answer confirmed: the customer retains committed business records already stored on its database and receives a portable export with schema/version information, public history and attachment manifests. Attachment binaries remain governed by the separate Blob custody and offboarding process. Define export inclusion, delivery period, audit retention and treatment of private operator notes in the service agreement. Do not promise all operator-held records or assume none are disclosable.</w:t>
      </w:r>
    </w:p>
    <w:p>
      <w:r>
        <w:t>Q8d answer confirmed: versioned APIs and exports are the supported integration contract. Customer-controlled direct reads may be technically possible but are unsupported unless a versioned read model is separately agreed. Internal collection layouts may evolve through migrations. Direct database edits must never create approval, permission or execution authority.</w:t>
      </w:r>
    </w:p>
    <w:p>
      <w:r>
        <w:t>Implementation consequence: compose timelines through the ITSM engine’s port, apply tenant and public/private filtering server-side, and make customer-facing summaries projections rather than alternative authority. Define degraded behaviour if the trusted store is unavailable; never infer approval from a stale customer projection.</w:t>
      </w:r>
    </w:p>
    <w:p>
      <w:r>
        <w:t>Decision status: Answered and confirmed. D2 storage allocation was approved on 29 October 2026. D3 ownership and offboarding and D4 supported API and export contract were approved on 28 October 2026. Detailed private-note disclosure and retention terms must be specified separately; this does not reopen the agreed allocation.</w:t>
      </w:r>
    </w:p>
    <w:p>
      <w:bookmarkStart w:id="110" w:name="orca_ch_110"/>
      <w:pPr>
        <w:pStyle w:val="QA_Heading1"/>
      </w:pPr>
      <w:r>
        <w:t>Q9a Missing ITSM read permissions</w:t>
      </w:r>
      <w:bookmarkEnd w:id="110"/>
    </w:p>
    <w:p>
      <w:pPr>
        <w:pStyle w:val="QA_Heading2"/>
      </w:pPr>
      <w:r>
        <w:t>Question</w:t>
      </w:r>
    </w:p>
    <w:p>
      <w:r>
        <w:t>Should itsm.sla.read, itsm.catalogue.read, itsm.knowledge.read and itsm.report.read be added to the catalogue, or should all five navigation entries use itsm.ticket.read?</w:t>
      </w:r>
    </w:p>
    <w:p>
      <w:pPr>
        <w:pStyle w:val="QA_Heading2"/>
      </w:pPr>
      <w:r>
        <w:t>Explainer</w:t>
      </w:r>
    </w:p>
    <w:p>
      <w:r>
        <w:t>One catalogue permission is reused for two entries in the reported prototype. Reading a ticket should not automatically grant the complete catalogue, SLA administration or organisation-wide reporting. Navigation visibility is also not server-side authorisation.</w:t>
      </w:r>
    </w:p>
    <w:p>
      <w:pPr>
        <w:pStyle w:val="QA_Heading2"/>
      </w:pPr>
      <w:r>
        <w:t>Answer</w:t>
      </w:r>
    </w:p>
    <w:p>
      <w:r>
        <w:t>Add the four granular read permissions to the canonical catalogue and seed role contributions explicitly. Add or reuse a canonical service.read permission for service definitions; use the existing asset.read for CI details. A combined Services and CIs page checks each relevant resource permission. Ticket readers may see permitted service labels and SLA summaries inside their ticket without gaining separate-page access. Requester catalogue and knowledge access remains restricted by entitlement, audience and publication state. Enforce the same checks in APIs, queries and exports.</w:t>
      </w:r>
    </w:p>
    <w:p>
      <w:r>
        <w:t>Decision status: Answered technical clarification. Add the granular permissions and preserve server-side matrix enforcement.</w:t>
      </w:r>
    </w:p>
    <w:tbl>
      <w:tblPr>
        <w:tblW w:type="auto" w:w="0"/>
        <w:tblLayout w:type="fixed"/>
        <w:tblLook w:firstColumn="1" w:firstRow="1" w:lastColumn="0" w:lastRow="0" w:noHBand="0" w:noVBand="1" w:val="04A0"/>
      </w:tblPr>
      <w:tblGrid>
        <w:gridCol w:w="5040"/>
        <w:gridCol w:w="5040"/>
      </w:tblGrid>
      <w:tr>
        <w:trPr>
          <w:cantSplit/>
          <w:tblHeader/>
        </w:trPr>
        <w:tc>
          <w:tcPr>
            <w:tcW w:type="dxa" w:w="3744"/>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Permission</w:t>
            </w:r>
          </w:p>
        </w:tc>
        <w:tc>
          <w:tcPr>
            <w:tcW w:type="dxa" w:w="6336"/>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Purpose</w:t>
            </w:r>
          </w:p>
        </w:tc>
      </w:tr>
      <w:tr>
        <w:trPr>
          <w:cantSplit/>
        </w:trPr>
        <w:tc>
          <w:tcPr>
            <w:tcW w:type="dxa" w:w="3744"/>
            <w:shd w:fill="F1F5F7"/>
            <w:tcBorders>
              <w:top w:val="single" w:sz="4" w:color="D9D9D9"/>
              <w:left w:val="single" w:sz="4" w:color="D9D9D9"/>
              <w:bottom w:val="single" w:sz="4" w:color="D9D9D9"/>
              <w:right w:val="single" w:sz="4" w:color="D9D9D9"/>
            </w:tcBorders>
            <w:vAlign w:val="center"/>
          </w:tcPr>
          <w:p>
            <w:pPr>
              <w:spacing w:before="80" w:after="80"/>
            </w:pPr>
            <w:r>
              <w:rPr>
                <w:sz w:val="20"/>
              </w:rPr>
              <w:t>itsm.sla.read</w:t>
            </w:r>
          </w:p>
        </w:tc>
        <w:tc>
          <w:tcPr>
            <w:tcW w:type="dxa" w:w="6336"/>
            <w:shd w:fill="F1F5F7"/>
            <w:tcBorders>
              <w:top w:val="single" w:sz="4" w:color="D9D9D9"/>
              <w:left w:val="single" w:sz="4" w:color="D9D9D9"/>
              <w:bottom w:val="single" w:sz="4" w:color="D9D9D9"/>
              <w:right w:val="single" w:sz="4" w:color="D9D9D9"/>
            </w:tcBorders>
            <w:vAlign w:val="center"/>
          </w:tcPr>
          <w:p>
            <w:pPr>
              <w:spacing w:before="80" w:after="80"/>
            </w:pPr>
            <w:r>
              <w:rPr>
                <w:sz w:val="20"/>
              </w:rPr>
              <w:t>Read authorised SLA policy or performance information</w:t>
            </w:r>
          </w:p>
        </w:tc>
      </w:tr>
      <w:tr>
        <w:trPr>
          <w:cantSplit/>
        </w:trPr>
        <w:tc>
          <w:tcPr>
            <w:tcW w:type="dxa" w:w="3744"/>
            <w:shd w:fill="FFFFFF"/>
            <w:tcBorders>
              <w:top w:val="single" w:sz="4" w:color="D9D9D9"/>
              <w:left w:val="single" w:sz="4" w:color="D9D9D9"/>
              <w:bottom w:val="single" w:sz="4" w:color="D9D9D9"/>
              <w:right w:val="single" w:sz="4" w:color="D9D9D9"/>
            </w:tcBorders>
            <w:vAlign w:val="center"/>
          </w:tcPr>
          <w:p>
            <w:pPr>
              <w:spacing w:before="80" w:after="80"/>
            </w:pPr>
            <w:r>
              <w:rPr>
                <w:sz w:val="20"/>
              </w:rPr>
              <w:t>itsm.catalogue.read</w:t>
            </w:r>
          </w:p>
        </w:tc>
        <w:tc>
          <w:tcPr>
            <w:tcW w:type="dxa" w:w="6336"/>
            <w:shd w:fill="FFFFFF"/>
            <w:tcBorders>
              <w:top w:val="single" w:sz="4" w:color="D9D9D9"/>
              <w:left w:val="single" w:sz="4" w:color="D9D9D9"/>
              <w:bottom w:val="single" w:sz="4" w:color="D9D9D9"/>
              <w:right w:val="single" w:sz="4" w:color="D9D9D9"/>
            </w:tcBorders>
            <w:vAlign w:val="center"/>
          </w:tcPr>
          <w:p>
            <w:pPr>
              <w:spacing w:before="80" w:after="80"/>
            </w:pPr>
            <w:r>
              <w:rPr>
                <w:sz w:val="20"/>
              </w:rPr>
              <w:t>Browse authorised catalogue items</w:t>
            </w:r>
          </w:p>
        </w:tc>
      </w:tr>
      <w:tr>
        <w:trPr>
          <w:cantSplit/>
        </w:trPr>
        <w:tc>
          <w:tcPr>
            <w:tcW w:type="dxa" w:w="3744"/>
            <w:shd w:fill="F1F5F7"/>
            <w:tcBorders>
              <w:top w:val="single" w:sz="4" w:color="D9D9D9"/>
              <w:left w:val="single" w:sz="4" w:color="D9D9D9"/>
              <w:bottom w:val="single" w:sz="4" w:color="D9D9D9"/>
              <w:right w:val="single" w:sz="4" w:color="D9D9D9"/>
            </w:tcBorders>
            <w:vAlign w:val="center"/>
          </w:tcPr>
          <w:p>
            <w:pPr>
              <w:spacing w:before="80" w:after="80"/>
            </w:pPr>
            <w:r>
              <w:rPr>
                <w:sz w:val="20"/>
              </w:rPr>
              <w:t>itsm.knowledge.read</w:t>
            </w:r>
          </w:p>
        </w:tc>
        <w:tc>
          <w:tcPr>
            <w:tcW w:type="dxa" w:w="6336"/>
            <w:shd w:fill="F1F5F7"/>
            <w:tcBorders>
              <w:top w:val="single" w:sz="4" w:color="D9D9D9"/>
              <w:left w:val="single" w:sz="4" w:color="D9D9D9"/>
              <w:bottom w:val="single" w:sz="4" w:color="D9D9D9"/>
              <w:right w:val="single" w:sz="4" w:color="D9D9D9"/>
            </w:tcBorders>
            <w:vAlign w:val="center"/>
          </w:tcPr>
          <w:p>
            <w:pPr>
              <w:spacing w:before="80" w:after="80"/>
            </w:pPr>
            <w:r>
              <w:rPr>
                <w:sz w:val="20"/>
              </w:rPr>
              <w:t>Read authorised knowledge articles</w:t>
            </w:r>
          </w:p>
        </w:tc>
      </w:tr>
      <w:tr>
        <w:trPr>
          <w:cantSplit/>
        </w:trPr>
        <w:tc>
          <w:tcPr>
            <w:tcW w:type="dxa" w:w="3744"/>
            <w:shd w:fill="FFFFFF"/>
            <w:tcBorders>
              <w:top w:val="single" w:sz="4" w:color="D9D9D9"/>
              <w:left w:val="single" w:sz="4" w:color="D9D9D9"/>
              <w:bottom w:val="single" w:sz="4" w:color="D9D9D9"/>
              <w:right w:val="single" w:sz="4" w:color="D9D9D9"/>
            </w:tcBorders>
            <w:vAlign w:val="center"/>
          </w:tcPr>
          <w:p>
            <w:pPr>
              <w:spacing w:before="80" w:after="80"/>
            </w:pPr>
            <w:r>
              <w:rPr>
                <w:sz w:val="20"/>
              </w:rPr>
              <w:t>itsm.report.read</w:t>
            </w:r>
          </w:p>
        </w:tc>
        <w:tc>
          <w:tcPr>
            <w:tcW w:type="dxa" w:w="6336"/>
            <w:shd w:fill="FFFFFF"/>
            <w:tcBorders>
              <w:top w:val="single" w:sz="4" w:color="D9D9D9"/>
              <w:left w:val="single" w:sz="4" w:color="D9D9D9"/>
              <w:bottom w:val="single" w:sz="4" w:color="D9D9D9"/>
              <w:right w:val="single" w:sz="4" w:color="D9D9D9"/>
            </w:tcBorders>
            <w:vAlign w:val="center"/>
          </w:tcPr>
          <w:p>
            <w:pPr>
              <w:spacing w:before="80" w:after="80"/>
            </w:pPr>
            <w:r>
              <w:rPr>
                <w:sz w:val="20"/>
              </w:rPr>
              <w:t>Read scoped ITSM reports</w:t>
            </w:r>
          </w:p>
        </w:tc>
      </w:tr>
      <w:tr>
        <w:trPr>
          <w:cantSplit/>
        </w:trPr>
        <w:tc>
          <w:tcPr>
            <w:tcW w:type="dxa" w:w="3744"/>
            <w:shd w:fill="F1F5F7"/>
            <w:tcBorders>
              <w:top w:val="single" w:sz="4" w:color="D9D9D9"/>
              <w:left w:val="single" w:sz="4" w:color="D9D9D9"/>
              <w:bottom w:val="single" w:sz="4" w:color="D9D9D9"/>
              <w:right w:val="single" w:sz="4" w:color="D9D9D9"/>
            </w:tcBorders>
            <w:vAlign w:val="center"/>
          </w:tcPr>
          <w:p>
            <w:pPr>
              <w:spacing w:before="80" w:after="80"/>
            </w:pPr>
            <w:r>
              <w:rPr>
                <w:sz w:val="20"/>
              </w:rPr>
              <w:t>service.read and existing asset.read</w:t>
            </w:r>
          </w:p>
        </w:tc>
        <w:tc>
          <w:tcPr>
            <w:tcW w:type="dxa" w:w="6336"/>
            <w:shd w:fill="F1F5F7"/>
            <w:tcBorders>
              <w:top w:val="single" w:sz="4" w:color="D9D9D9"/>
              <w:left w:val="single" w:sz="4" w:color="D9D9D9"/>
              <w:bottom w:val="single" w:sz="4" w:color="D9D9D9"/>
              <w:right w:val="single" w:sz="4" w:color="D9D9D9"/>
            </w:tcBorders>
            <w:vAlign w:val="center"/>
          </w:tcPr>
          <w:p>
            <w:pPr>
              <w:spacing w:before="80" w:after="80"/>
            </w:pPr>
            <w:r>
              <w:rPr>
                <w:sz w:val="20"/>
              </w:rPr>
              <w:t>Read authorised service definitions and CI or asset details</w:t>
            </w:r>
          </w:p>
        </w:tc>
      </w:tr>
    </w:tbl>
    <w:p/>
    <w:p>
      <w:bookmarkStart w:id="111" w:name="orca_ch_111"/>
      <w:pPr>
        <w:pStyle w:val="QA_Heading1"/>
      </w:pPr>
      <w:r>
        <w:t>Q9b Additional requester capabilities</w:t>
      </w:r>
      <w:bookmarkEnd w:id="111"/>
    </w:p>
    <w:p>
      <w:pPr>
        <w:pStyle w:val="QA_Heading2"/>
      </w:pPr>
      <w:r>
        <w:t>Question</w:t>
      </w:r>
    </w:p>
    <w:p>
      <w:r>
        <w:t>Are Customer.OnBehalf with requester.ticket.submit-on-behalf and Customer.DeptViewer with requester.department.read part of M23 scope?</w:t>
      </w:r>
    </w:p>
    <w:p>
      <w:pPr>
        <w:pStyle w:val="QA_Heading2"/>
      </w:pPr>
      <w:r>
        <w:t>Explainer</w:t>
      </w:r>
    </w:p>
    <w:p>
      <w:r>
        <w:t>Both extend access beyond a requester’s own tickets. On-behalf submission requires attribution and delegation. Department viewing requires a reliable membership source and explicit scope; a job-title or email-domain match is insufficient.</w:t>
      </w:r>
    </w:p>
    <w:p>
      <w:pPr>
        <w:pStyle w:val="QA_Heading2"/>
      </w:pPr>
      <w:r>
        <w:t>Answer</w:t>
      </w:r>
    </w:p>
    <w:p>
      <w:r>
        <w:t>Include both as optional, disabled-by-default capabilities, as confirmed by Ashwin. Record the submitter and actual requester separately. Configure approved delegation and department scopes, expiry and revocation. Neither capability grants private analyst notes or unrelated attachments. They may be UAM templates within role ceilings rather than extra Entra roles. Reject unknown permissions until the canonical catalogue and templates admit them.</w:t>
      </w:r>
    </w:p>
    <w:p>
      <w:r>
        <w:t>Decision status: Confirmed by Ashwin on 28 October 2026: include both capabilities as optional and disabled by default. Exact delegation rules remain tenant configuration.</w:t>
      </w:r>
    </w:p>
    <w:p>
      <w:bookmarkStart w:id="112" w:name="orca_ch_112"/>
      <w:pPr>
        <w:pStyle w:val="QA_Heading1"/>
      </w:pPr>
      <w:r>
        <w:t>Q9c Self service access for operators</w:t>
      </w:r>
      <w:bookmarkEnd w:id="112"/>
    </w:p>
    <w:p>
      <w:pPr>
        <w:pStyle w:val="QA_Heading2"/>
      </w:pPr>
      <w:r>
        <w:t>Question</w:t>
      </w:r>
    </w:p>
    <w:p>
      <w:r>
        <w:t>Should operators see Self-service whenever M23 is enabled, even without requester.portal.enter, or should it be limited to requester guests?</w:t>
      </w:r>
    </w:p>
    <w:p>
      <w:pPr>
        <w:pStyle w:val="QA_Heading2"/>
      </w:pPr>
      <w:r>
        <w:t>Explainer</w:t>
      </w:r>
    </w:p>
    <w:p>
      <w:r>
        <w:t>Module installation does not grant access. Guest status alone is not an authorisation rule. Operators can legitimately need to raise their own tickets if explicitly entitled.</w:t>
      </w:r>
    </w:p>
    <w:p>
      <w:pPr>
        <w:pStyle w:val="QA_Heading2"/>
      </w:pPr>
      <w:r>
        <w:t>Answer</w:t>
      </w:r>
    </w:p>
    <w:p>
      <w:r>
        <w:t>Show and serve Self-service only when requester.portal.enter and the required tenant scope are granted within the role ceiling. An operator can receive an explicit requester contribution; do not infer it from operator status. Hide the navigation and deny the route/API if the permission is absent. The developer’s current hiding behaviour is correct for unentitled operators.</w:t>
      </w:r>
    </w:p>
    <w:p>
      <w:r>
        <w:t>Decision status: Clarification within existing permission rules; no product input required.</w:t>
      </w:r>
    </w:p>
    <w:p>
      <w:bookmarkStart w:id="113" w:name="orca_ch_113"/>
      <w:pPr>
        <w:pStyle w:val="QA_Heading1"/>
      </w:pPr>
      <w:r>
        <w:t>Q9d Module catalogue count</w:t>
      </w:r>
      <w:bookmarkEnd w:id="113"/>
    </w:p>
    <w:p>
      <w:pPr>
        <w:pStyle w:val="QA_Heading2"/>
      </w:pPr>
      <w:r>
        <w:t>Question</w:t>
      </w:r>
    </w:p>
    <w:p>
      <w:r>
        <w:t>Should the prototype help text saying “The 20 engines” change?</w:t>
      </w:r>
    </w:p>
    <w:p>
      <w:pPr>
        <w:pStyle w:val="QA_Heading2"/>
      </w:pPr>
      <w:r>
        <w:t>Explainer</w:t>
      </w:r>
    </w:p>
    <w:p>
      <w:r>
        <w:t>The catalogue text predates M21 to M23 and no longer describes the full product.</w:t>
      </w:r>
    </w:p>
    <w:p>
      <w:pPr>
        <w:pStyle w:val="QA_Heading2"/>
      </w:pPr>
      <w:r>
        <w:t>Answer</w:t>
      </w:r>
    </w:p>
    <w:p>
      <w:r>
        <w:t>Change the baseline count to 23 engines. Prefer deriving the displayed count from the canonical module registry, distinguishing product modules from modules installed or enabled for a tenant.</w:t>
      </w:r>
    </w:p>
    <w:p>
      <w:r>
        <w:t>Decision status: Documentation and UI-copy correction; no product input required.</w:t>
      </w:r>
    </w:p>
    <w:p>
      <w:bookmarkStart w:id="114" w:name="orca_ch_114"/>
      <w:pPr>
        <w:pStyle w:val="QA_Heading1"/>
      </w:pPr>
      <w:r>
        <w:t>Confirmed owner decisions</w:t>
      </w:r>
      <w:bookmarkEnd w:id="114"/>
    </w:p>
    <w:p>
      <w:r>
        <w:t>All five decisions are confirmed. D1, D3, D4 and D5 were confirmed by Ashwin on 28 October 2026; D2 was confirmed on 29 October 2026. There are no outstanding owner questions in this review. Operational policy details still require design and tenant configuration.</w:t>
      </w:r>
    </w:p>
    <w:tbl>
      <w:tblPr>
        <w:tblW w:type="auto" w:w="0"/>
        <w:tblLayout w:type="fixed"/>
        <w:tblLook w:firstColumn="1" w:firstRow="1" w:lastColumn="0" w:lastRow="0" w:noHBand="0" w:noVBand="1" w:val="04A0"/>
      </w:tblPr>
      <w:tblGrid>
        <w:gridCol w:w="3360"/>
        <w:gridCol w:w="3360"/>
        <w:gridCol w:w="3360"/>
      </w:tblGrid>
      <w:tr>
        <w:trPr>
          <w:cantSplit/>
          <w:tblHeader/>
        </w:trPr>
        <w:tc>
          <w:tcPr>
            <w:tcW w:type="dxa" w:w="648"/>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ID</w:t>
            </w:r>
          </w:p>
        </w:tc>
        <w:tc>
          <w:tcPr>
            <w:tcW w:type="dxa" w:w="3168"/>
            <w:shd w:fill="173E50"/>
            <w:tcBorders>
              <w:top w:val="single" w:sz="4" w:color="D9D9D9"/>
              <w:left w:val="single" w:sz="4" w:color="D9D9D9"/>
              <w:bottom w:val="single" w:sz="4" w:color="D9D9D9"/>
              <w:right w:val="single" w:sz="4" w:color="D9D9D9"/>
            </w:tcBorders>
            <w:vAlign w:val="center"/>
          </w:tcPr>
          <w:p>
            <w:r>
              <w:rPr>
                <w:b/>
                <w:color w:val="FFFFFF"/>
                <w:sz w:val="20"/>
              </w:rPr>
              <w:t>Decision</w:t>
            </w:r>
          </w:p>
        </w:tc>
        <w:tc>
          <w:tcPr>
            <w:tcW w:type="dxa" w:w="6264"/>
            <w:shd w:fill="173E50"/>
            <w:tcBorders>
              <w:top w:val="single" w:sz="4" w:color="D9D9D9"/>
              <w:left w:val="single" w:sz="4" w:color="D9D9D9"/>
              <w:bottom w:val="single" w:sz="4" w:color="D9D9D9"/>
              <w:right w:val="single" w:sz="4" w:color="D9D9D9"/>
            </w:tcBorders>
            <w:vAlign w:val="center"/>
          </w:tcPr>
          <w:p>
            <w:pPr>
              <w:spacing w:before="80" w:after="80"/>
            </w:pPr>
            <w:r>
              <w:rPr>
                <w:b/>
                <w:color w:val="FFFFFF"/>
                <w:sz w:val="20"/>
              </w:rPr>
              <w:t>Current position</w:t>
            </w:r>
          </w:p>
        </w:tc>
      </w:tr>
      <w:tr>
        <w:trPr>
          <w:cantSplit/>
        </w:trPr>
        <w:tc>
          <w:tcPr>
            <w:tcW w:type="dxa" w:w="648"/>
            <w:shd w:fill="F1F5F7"/>
            <w:tcBorders>
              <w:top w:val="single" w:sz="4" w:color="D9D9D9"/>
              <w:left w:val="single" w:sz="4" w:color="D9D9D9"/>
              <w:bottom w:val="single" w:sz="4" w:color="D9D9D9"/>
              <w:right w:val="single" w:sz="4" w:color="D9D9D9"/>
            </w:tcBorders>
            <w:vAlign w:val="center"/>
          </w:tcPr>
          <w:p>
            <w:pPr>
              <w:spacing w:before="80" w:after="80"/>
            </w:pPr>
            <w:r>
              <w:rPr>
                <w:sz w:val="20"/>
              </w:rPr>
              <w:t>D1</w:t>
            </w:r>
          </w:p>
        </w:tc>
        <w:tc>
          <w:tcPr>
            <w:tcW w:type="dxa" w:w="3168"/>
            <w:shd w:fill="F1F5F7"/>
            <w:tcBorders>
              <w:top w:val="single" w:sz="4" w:color="D9D9D9"/>
              <w:left w:val="single" w:sz="4" w:color="D9D9D9"/>
              <w:bottom w:val="single" w:sz="4" w:color="D9D9D9"/>
              <w:right w:val="single" w:sz="4" w:color="D9D9D9"/>
            </w:tcBorders>
            <w:vAlign w:val="center"/>
          </w:tcPr>
          <w:p>
            <w:pPr>
              <w:spacing w:before="80" w:after="80"/>
            </w:pPr>
            <w:r>
              <w:rPr>
                <w:sz w:val="20"/>
              </w:rPr>
              <w:t>Approved Radzen skin</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CONFIRMED: Software-based Orca light and dark. Retain the proposed supported free-theme picker subject to asset validation.</w:t>
            </w:r>
          </w:p>
        </w:tc>
      </w:tr>
      <w:tr>
        <w:trPr>
          <w:cantSplit/>
        </w:trPr>
        <w:tc>
          <w:tcPr>
            <w:tcW w:type="dxa" w:w="648"/>
            <w:shd w:fill="FFFFFF"/>
            <w:tcBorders>
              <w:top w:val="single" w:sz="4" w:color="D9D9D9"/>
              <w:left w:val="single" w:sz="4" w:color="D9D9D9"/>
              <w:bottom w:val="single" w:sz="4" w:color="D9D9D9"/>
              <w:right w:val="single" w:sz="4" w:color="D9D9D9"/>
            </w:tcBorders>
            <w:vAlign w:val="center"/>
          </w:tcPr>
          <w:p>
            <w:pPr>
              <w:spacing w:before="80" w:after="80"/>
            </w:pPr>
            <w:r>
              <w:rPr>
                <w:sz w:val="20"/>
              </w:rPr>
              <w:t>D2</w:t>
            </w:r>
          </w:p>
        </w:tc>
        <w:tc>
          <w:tcPr>
            <w:tcW w:type="dxa" w:w="3168"/>
            <w:shd w:fill="FFFFFF"/>
            <w:tcBorders>
              <w:top w:val="single" w:sz="4" w:color="D9D9D9"/>
              <w:left w:val="single" w:sz="4" w:color="D9D9D9"/>
              <w:bottom w:val="single" w:sz="4" w:color="D9D9D9"/>
              <w:right w:val="single" w:sz="4" w:color="D9D9D9"/>
            </w:tcBorders>
            <w:vAlign w:val="center"/>
          </w:tcPr>
          <w:p>
            <w:pPr>
              <w:spacing w:before="80" w:after="80"/>
            </w:pPr>
            <w:r>
              <w:rPr>
                <w:sz w:val="20"/>
              </w:rPr>
              <w:t>Detailed storage allocation</w:t>
            </w:r>
          </w:p>
        </w:tc>
        <w:tc>
          <w:tcPr>
            <w:tcW w:type="dxa" w:w="6264"/>
            <w:shd w:fill="FFFFFF"/>
            <w:tcBorders>
              <w:top w:val="single" w:sz="4" w:color="D9D9D9"/>
              <w:left w:val="single" w:sz="4" w:color="D9D9D9"/>
              <w:bottom w:val="single" w:sz="4" w:color="D9D9D9"/>
              <w:right w:val="single" w:sz="4" w:color="D9D9D9"/>
            </w:tcBorders>
            <w:vAlign w:val="center"/>
          </w:tcPr>
          <w:p>
            <w:r>
              <w:t>CONFIRMED 29 October 2026: Q8 customer and operator split, including operator-held SLA clock authority and temporary requester drafts; file bytes in Blob and rebuildable search vectors in Qdrant.</w:t>
            </w:r>
          </w:p>
        </w:tc>
      </w:tr>
      <w:tr>
        <w:trPr>
          <w:cantSplit/>
        </w:trPr>
        <w:tc>
          <w:tcPr>
            <w:tcW w:type="dxa" w:w="648"/>
            <w:shd w:fill="F1F5F7"/>
            <w:tcBorders>
              <w:top w:val="single" w:sz="4" w:color="D9D9D9"/>
              <w:left w:val="single" w:sz="4" w:color="D9D9D9"/>
              <w:bottom w:val="single" w:sz="4" w:color="D9D9D9"/>
              <w:right w:val="single" w:sz="4" w:color="D9D9D9"/>
            </w:tcBorders>
            <w:vAlign w:val="center"/>
          </w:tcPr>
          <w:p>
            <w:pPr>
              <w:spacing w:before="80" w:after="80"/>
            </w:pPr>
            <w:r>
              <w:rPr>
                <w:sz w:val="20"/>
              </w:rPr>
              <w:t>D3</w:t>
            </w:r>
          </w:p>
        </w:tc>
        <w:tc>
          <w:tcPr>
            <w:tcW w:type="dxa" w:w="3168"/>
            <w:shd w:fill="F1F5F7"/>
            <w:tcBorders>
              <w:top w:val="single" w:sz="4" w:color="D9D9D9"/>
              <w:left w:val="single" w:sz="4" w:color="D9D9D9"/>
              <w:bottom w:val="single" w:sz="4" w:color="D9D9D9"/>
              <w:right w:val="single" w:sz="4" w:color="D9D9D9"/>
            </w:tcBorders>
            <w:vAlign w:val="center"/>
          </w:tcPr>
          <w:p>
            <w:pPr>
              <w:spacing w:before="80" w:after="80"/>
            </w:pPr>
            <w:r>
              <w:rPr>
                <w:sz w:val="20"/>
              </w:rPr>
              <w:t>Customer ownership and offboarding</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CONFIRMED: customer retains committed business records plus an offboarding export; private operator notes handled separately. Define detailed disclosure and retention policy.</w:t>
            </w:r>
          </w:p>
        </w:tc>
      </w:tr>
      <w:tr>
        <w:trPr>
          <w:cantSplit/>
        </w:trPr>
        <w:tc>
          <w:tcPr>
            <w:tcW w:type="dxa" w:w="648"/>
            <w:shd w:fill="FFFFFF"/>
            <w:tcBorders>
              <w:top w:val="single" w:sz="4" w:color="D9D9D9"/>
              <w:left w:val="single" w:sz="4" w:color="D9D9D9"/>
              <w:bottom w:val="single" w:sz="4" w:color="D9D9D9"/>
              <w:right w:val="single" w:sz="4" w:color="D9D9D9"/>
            </w:tcBorders>
            <w:vAlign w:val="center"/>
          </w:tcPr>
          <w:p>
            <w:pPr>
              <w:spacing w:before="80" w:after="80"/>
            </w:pPr>
            <w:r>
              <w:rPr>
                <w:sz w:val="20"/>
              </w:rPr>
              <w:t>D4</w:t>
            </w:r>
          </w:p>
        </w:tc>
        <w:tc>
          <w:tcPr>
            <w:tcW w:type="dxa" w:w="3168"/>
            <w:shd w:fill="FFFFFF"/>
            <w:tcBorders>
              <w:top w:val="single" w:sz="4" w:color="D9D9D9"/>
              <w:left w:val="single" w:sz="4" w:color="D9D9D9"/>
              <w:bottom w:val="single" w:sz="4" w:color="D9D9D9"/>
              <w:right w:val="single" w:sz="4" w:color="D9D9D9"/>
            </w:tcBorders>
            <w:vAlign w:val="center"/>
          </w:tcPr>
          <w:p>
            <w:pPr>
              <w:spacing w:before="80" w:after="80"/>
            </w:pPr>
            <w:r>
              <w:rPr>
                <w:sz w:val="20"/>
              </w:rPr>
              <w:t>Supported external interface</w:t>
            </w:r>
          </w:p>
        </w:tc>
        <w:tc>
          <w:tcPr>
            <w:tcW w:type="dxa" w:w="6264"/>
            <w:shd w:fill="FFFFFF"/>
            <w:tcBorders>
              <w:top w:val="single" w:sz="4" w:color="D9D9D9"/>
              <w:left w:val="single" w:sz="4" w:color="D9D9D9"/>
              <w:bottom w:val="single" w:sz="4" w:color="D9D9D9"/>
              <w:right w:val="single" w:sz="4" w:color="D9D9D9"/>
            </w:tcBorders>
            <w:vAlign w:val="center"/>
          </w:tcPr>
          <w:p>
            <w:pPr>
              <w:spacing w:before="80" w:after="80"/>
            </w:pPr>
            <w:r>
              <w:rPr>
                <w:sz w:val="20"/>
              </w:rPr>
              <w:t>CONFIRMED: APIs and exports supported; direct database integrations separately agreed. Database edits confer no operational authority.</w:t>
            </w:r>
          </w:p>
        </w:tc>
      </w:tr>
      <w:tr>
        <w:trPr>
          <w:cantSplit/>
        </w:trPr>
        <w:tc>
          <w:tcPr>
            <w:tcW w:type="dxa" w:w="648"/>
            <w:shd w:fill="F1F5F7"/>
            <w:tcBorders>
              <w:top w:val="single" w:sz="4" w:color="D9D9D9"/>
              <w:left w:val="single" w:sz="4" w:color="D9D9D9"/>
              <w:bottom w:val="single" w:sz="4" w:color="D9D9D9"/>
              <w:right w:val="single" w:sz="4" w:color="D9D9D9"/>
            </w:tcBorders>
            <w:vAlign w:val="center"/>
          </w:tcPr>
          <w:p>
            <w:pPr>
              <w:spacing w:before="80" w:after="80"/>
            </w:pPr>
            <w:r>
              <w:rPr>
                <w:sz w:val="20"/>
              </w:rPr>
              <w:t>D5</w:t>
            </w:r>
          </w:p>
        </w:tc>
        <w:tc>
          <w:tcPr>
            <w:tcW w:type="dxa" w:w="3168"/>
            <w:shd w:fill="F1F5F7"/>
            <w:tcBorders>
              <w:top w:val="single" w:sz="4" w:color="D9D9D9"/>
              <w:left w:val="single" w:sz="4" w:color="D9D9D9"/>
              <w:bottom w:val="single" w:sz="4" w:color="D9D9D9"/>
              <w:right w:val="single" w:sz="4" w:color="D9D9D9"/>
            </w:tcBorders>
            <w:vAlign w:val="center"/>
          </w:tcPr>
          <w:p>
            <w:pPr>
              <w:spacing w:before="80" w:after="80"/>
            </w:pPr>
            <w:r>
              <w:rPr>
                <w:sz w:val="20"/>
              </w:rPr>
              <w:t>Optional requester extensions</w:t>
            </w:r>
          </w:p>
        </w:tc>
        <w:tc>
          <w:tcPr>
            <w:tcW w:type="dxa" w:w="6264"/>
            <w:shd w:fill="F1F5F7"/>
            <w:tcBorders>
              <w:top w:val="single" w:sz="4" w:color="D9D9D9"/>
              <w:left w:val="single" w:sz="4" w:color="D9D9D9"/>
              <w:bottom w:val="single" w:sz="4" w:color="D9D9D9"/>
              <w:right w:val="single" w:sz="4" w:color="D9D9D9"/>
            </w:tcBorders>
            <w:vAlign w:val="center"/>
          </w:tcPr>
          <w:p>
            <w:pPr>
              <w:spacing w:before="80" w:after="80"/>
            </w:pPr>
            <w:r>
              <w:rPr>
                <w:sz w:val="20"/>
              </w:rPr>
              <w:t>CONFIRMED: include both as optional, disabled-by-default and explicitly scoped capabilities.</w:t>
            </w:r>
          </w:p>
        </w:tc>
      </w:tr>
    </w:tbl>
    <w:p/>
    <w:p>
      <w:r>
        <w:t>Requester security reporting follows Q5: a requester submits a report, then an authorised analyst triages it and creates or links the M04 security incident. Direct requester creation of M04 is outside this baseline.</w:t>
      </w:r>
    </w:p>
    <w:p>
      <w:bookmarkStart w:id="115" w:name="orca_ch_115"/>
      <w:pPr>
        <w:pStyle w:val="QA_Heading1"/>
      </w:pPr>
      <w:r>
        <w:t>Changes to carry into the next specification</w:t>
      </w:r>
      <w:bookmarkEnd w:id="115"/>
    </w:p>
    <w:p>
      <w:r>
        <w:t>This master applies the consistent change set: unique test IDs and legacy mapping; all-23-engine release coverage; aligned theme requirements; explicit storage schedules; canonical roles and permission catalogue; corrected dependent gates; self-contained findings and source references; requester capabilities and server-side access rules.</w:t>
      </w:r>
    </w:p>
    <w:p>
      <w:r>
        <w:t>Carry these decisions into the master specification, traceability register, module work packages, release matrix and permission seed definitions together. Preserve evidence references and distinguish documentation corrections from approved product scope. These decisions are integrated into the owning chapters, role/permission catalogue, custody schedule and release gates in this master. No application implementation or test completion is implied.</w:t>
      </w:r>
    </w:p>
    <w:p>
      <w:bookmarkStart w:id="116" w:name="orca_ch_116"/>
      <w:pPr>
        <w:pStyle w:val="QA_Heading1"/>
      </w:pPr>
      <w:r>
        <w:t>Q8 confirmed storage walkthrough</w:t>
      </w:r>
      <w:bookmarkEnd w:id="116"/>
    </w:p>
    <w:p>
      <w:pPr>
        <w:pStyle w:val="QA_Heading2"/>
      </w:pPr>
      <w:r>
        <w:t>What the approved decision means</w:t>
      </w:r>
    </w:p>
    <w:p>
      <w:r>
        <w:t>The decision fixes where the authoritative copy of each ITSM record lives. Users see one Orca ticket and one authorised timeline. Orca combines the permitted records behind the scenes. Both stores remain isolated by tenant.</w:t>
      </w:r>
    </w:p>
    <w:p>
      <w:r>
        <w:t>Customer store means the tenant’s customer-controlled Atlas operational or content database. Operator store means a separate tenant-scoped database controlled by the Orca service operator. Evidence file bytes remain in the agreed operator-hosted Blob container per tenant; Qdrant holds replaceable retrieval indexes, not authoritative tickets, approvals or originals. Credentials stay in Key Vault.</w:t>
      </w:r>
    </w:p>
    <w:p>
      <w:pPr>
        <w:pStyle w:val="QA_Heading2"/>
      </w:pPr>
      <w:r>
        <w:t>Why use two stores</w:t>
      </w:r>
    </w:p>
    <w:p>
      <w:r>
        <w:t>The customer should retain usable business records when leaving Orca. The service operator also needs a trustworthy record of permissions, approvals, commands and processing receipts. If a customer edits its own database, that must not approve a production change, erase an audit trail or cause an email to be processed twice. Separate operational authority supports that boundary.</w:t>
      </w:r>
    </w:p>
    <w:p>
      <w:pPr>
        <w:pStyle w:val="QA_Heading2"/>
      </w:pPr>
      <w:r>
        <w:t>A practical ticket example</w:t>
      </w:r>
    </w:p>
    <w:p>
      <w:pPr>
        <w:pStyle w:val="QA_ListBullet"/>
      </w:pPr>
      <w:r>
        <w:t>An email arrives. The operator store records the receipt, message identity, processing lease and deduplication key. This prevents repeat delivery from creating duplicate tickets.</w:t>
      </w:r>
    </w:p>
    <w:p>
      <w:pPr>
        <w:pStyle w:val="QA_ListBullet"/>
      </w:pPr>
      <w:r>
        <w:t>Orca validates the message and creates the committed ticket and public message in the customer store. The operator records Intent and Outcome around the cross-store operation. The confirmed ticket receives references to trusted receipts.</w:t>
      </w:r>
    </w:p>
    <w:p>
      <w:pPr>
        <w:pStyle w:val="QA_ListBullet"/>
      </w:pPr>
      <w:r>
        <w:t>A technician adds a public reply and a private analyst note. The reply is customer-side; the private note is operator-side. Orca joins the permitted entries for the technician. The requester never receives the private note.</w:t>
      </w:r>
    </w:p>
    <w:p>
      <w:pPr>
        <w:pStyle w:val="QA_ListBullet"/>
      </w:pPr>
      <w:r>
        <w:t>A task needs approval or execution. The customer ticket can show Pending or Approved as a projection, but Orca validates the actual operator-held approval, current permissions and exact command before acting.</w:t>
      </w:r>
    </w:p>
    <w:p>
      <w:pPr>
        <w:pStyle w:val="QA_ListBullet"/>
      </w:pPr>
      <w:r>
        <w:t>SLA timers run from the operator-held event ledger. The customer ticket stores readable deadlines, elapsed time and breach summaries. Both are included in authorised reporting, with freshness and reconciliation status.</w:t>
      </w:r>
    </w:p>
    <w:p>
      <w:pPr>
        <w:pStyle w:val="QA_ListBullet"/>
      </w:pPr>
      <w:r>
        <w:t>At offboarding, customer-side ticket history remains available. Orca delivers the agreed export and eligible file transfer, plus suitable SLA and approval summaries or evidence extracts. Private-note disclosure and audit retention follow the separate agreed policy.</w:t>
      </w:r>
    </w:p>
    <w:p>
      <w:pPr>
        <w:pStyle w:val="QA_Heading2"/>
      </w:pPr>
      <w:r>
        <w:t>Records that need particular care</w:t>
      </w:r>
    </w:p>
    <w:p>
      <w:r>
        <w:t>SLA ledger: keep the authoritative clock events operator-held so edits to customer-side timestamps cannot rewrite measured service performance. Include portable SLA summaries and an agreed event extract in the customer exit package; operator-held does not mean inaccessible to authorised customers.</w:t>
      </w:r>
    </w:p>
    <w:p>
      <w:r>
        <w:t>Drafts: use operator-held user-private temporary staging, with expiry and abandoned upload cleanup. This location is included in the Q8 approval. Drafts must never appear as live tickets before submission; implement explicit ownership, access checks and retention.</w:t>
      </w:r>
    </w:p>
    <w:p>
      <w:r>
        <w:t>Catalogue and knowledge: customer-side storage supports portability. However, catalogue edits, price/entitlement rules, approval requirements and published content must still pass Orca validation and publication controls. A raw database edit must not bypass a privileged approval or make unsafe instructions authoritative.</w:t>
      </w:r>
    </w:p>
    <w:p>
      <w:r>
        <w:t>Tasks and ticket state: customer-side business records remain revision-controlled. Orca validates transitions, references and trusted operation outcomes before further privileged processing. Direct database writes remain outside the supported contract and can cause a record to be flagged or reconciled rather than executed.</w:t>
      </w:r>
    </w:p>
    <w:p>
      <w:pPr>
        <w:pStyle w:val="QA_Heading2"/>
      </w:pPr>
      <w:r>
        <w:t>Tradeoffs and failure behaviour</w:t>
      </w:r>
    </w:p>
    <w:p>
      <w:r>
        <w:t>The split adds engineering work: two-store recovery, idempotent retries, reconciled projections and timeline composition. MongoDB transactions do not make writes across independent clusters atomic. The existing Intent and Outcome protocol must handle partial failure explicitly. A single-store design is simpler but would change the agreed ownership or authority boundary.</w:t>
      </w:r>
    </w:p>
    <w:p>
      <w:r>
        <w:t>If the trusted operator store is unavailable, do not execute changes, accept new approvals or report pending writes as completed. Any permitted last-known read view must be clearly stale and must still have trustworthy access checks. Define degraded read behaviour and recovery targets in the design; do not promise full service during a store outage.</w:t>
      </w:r>
    </w:p>
    <w:p>
      <w:pPr>
        <w:pStyle w:val="QA_Heading2"/>
      </w:pPr>
      <w:r>
        <w:t>Confirmed decision for D2</w:t>
      </w:r>
    </w:p>
    <w:p>
      <w:r>
        <w:t>Ashwin approved the customer and operator split in Q8 on 29 October 2026. Keep committed tickets, public messages, tasks, tenant catalogue, customer knowledge and satisfaction records customer-side. Keep private notes, trusted approvals, intake receipts, checkpoints, connector configuration and the authoritative SLA ledger operator-side. Use operator-held temporary staging for drafts. Keep file bytes in Blob and replaceable search vectors in Qdrant. Require portable customer-facing evidence at exit and tested reconciliation across stores.</w:t>
      </w:r>
    </w:p>
    <w:p>
      <w:r>
        <w:t>No further owner clarification is required for Q8. Implement the approved allocation, include the appropriate customer-facing evidence in the offboarding package, and verify reconciliation and recovery. Retention periods, disclosure procedures, draft expiry, SLA calendars and recovery targets must be documented in the implementation and service policies.</w:t>
      </w:r>
    </w:p>
    <w:p>
      <w:bookmarkStart w:id="117" w:name="orca_ch_117"/>
      <w:pPr>
        <w:pStyle w:val="SvcHead0_Heading1"/>
      </w:pPr>
      <w:r>
        <w:t>Integrated service management detail 1</w:t>
      </w:r>
      <w:bookmarkEnd w:id="117"/>
    </w:p>
    <w:p>
      <w:r>
        <w:t>Additional detailed records and requirements retained from the service-management design. Confirmed theme, custody, permission and release corrections in this master apply to every table and workflow here.</w:t>
      </w:r>
    </w:p>
    <w:p>
      <w:pPr>
        <w:spacing w:after="200"/>
      </w:pPr>
      <w:r>
        <w:t>1 November 2026 update: see Tenant engine settings and access aware navigation at the end for the complete 23-engine settings register, tenant On and Off rules and permission-based sidebar visibility.</w:t>
      </w:r>
    </w:p>
    <w:p>
      <w:bookmarkStart w:id="118" w:name="orca_ch_118"/>
      <w:pPr>
        <w:pStyle w:val="Svc0_Heading1"/>
      </w:pPr>
      <w:r>
        <w:t>1  Approved changes and scope</w:t>
      </w:r>
      <w:bookmarkEnd w:id="118"/>
    </w:p>
    <w:p>
      <w:r>
        <w:t>Orca by Threat Intelligence Bureau LTD now uses Radzen Software-based Orca light and dark for this scope. Attachment readers can download the attachments they are authorised to read. Separate download grants, download approval requests, protected page-only delivery and Syncfusion document components are removed from the current release requirements.</w:t>
      </w:r>
    </w:p>
    <w:tbl>
      <w:tblPr>
        <w:tblW w:type="auto" w:w="0"/>
        <w:tblLayout w:type="fixed"/>
        <w:tblLook w:firstColumn="1" w:firstRow="1" w:lastColumn="0" w:lastRow="0" w:noHBand="0" w:noVBand="1" w:val="04A0"/>
      </w:tblPr>
      <w:tblGrid>
        <w:gridCol w:w="2304"/>
        <w:gridCol w:w="7776"/>
      </w:tblGrid>
      <w:tr>
        <w:trPr>
          <w:tblHeade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Change</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Current requirement</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Document tooling</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No Syncfusion dependency. Read-only previews use Radzen, Orca components or approved MIT UI packages.</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Attachment access</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One content-read entitlement permits preview and ordinary download of eligible content; no separate download approval.</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New ticket channels</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Mailbox rules and requester portal create records in the same ITSM ticket board.</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Service management</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ITSM incident and request lifecycles, assignment groups, SLA, escalations, problem and change links.</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Security incidents</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Existing NIST-aligned security handling remains distinct and linked when needed.</w:t>
            </w:r>
          </w:p>
        </w:tc>
      </w:tr>
    </w:tbl>
    <w:p>
      <w:bookmarkStart w:id="119" w:name="orca_ch_119"/>
      <w:pPr>
        <w:pStyle w:val="Svc0_Heading1"/>
      </w:pPr>
      <w:r>
        <w:t>2  Architecture and module boundaries</w:t>
      </w:r>
      <w:bookmarkEnd w:id="119"/>
    </w:p>
    <w:p>
      <w:r>
        <w:t>Retain Windows Azure App Service with .NET Blazor Server, MongoDB Atlas tenant isolation, operator-trusted records, operator-hosted Blob containers per tenant, Qdrant on an Azure VM, Entra SSO and Permission Manager UAM. Preserve the Reader and Executor split and durable outbox design from v5; no new message-bus dependency is imposed.</w:t>
      </w:r>
    </w:p>
    <w:tbl>
      <w:tblPr>
        <w:tblW w:type="auto" w:w="0"/>
        <w:tblLayout w:type="fixed"/>
        <w:tblLook w:firstColumn="1" w:firstRow="1" w:lastColumn="0" w:lastRow="0" w:noHBand="0" w:noVBand="1" w:val="04A0"/>
      </w:tblPr>
      <w:tblGrid>
        <w:gridCol w:w="2304"/>
        <w:gridCol w:w="7776"/>
      </w:tblGrid>
      <w:tr>
        <w:trPr>
          <w:tblHeade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Engine</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Responsibility and boundary</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M03 File Store</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Originals, immutable versions, attachment links, scanning, custody, ACL, ordinary downloads and searchable metadata.</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M04 Security incidents</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Existing security incident records, Microsoft synchronisation and NIST-aligned investigation/response.</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M09 Routing and shifts</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Eligible group/member selection using WorkReference proposals; assignment never grants content access.</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M13 and M14</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Existing Change Request and Problem Management ownership and workflows.</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M16 Notifications</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Template-based messages, delivery receipts and retry controls.</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M21 ITSM</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New technical incident/request aggregate, state rules, SLA clocks, public conversations and unified ticket-board projection.</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M22 Mailbox connector</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New message ingestion, matching, deduplication and ticket-create/update commands; no direct ITSM collection writes.</w:t>
            </w:r>
          </w:p>
        </w:tc>
      </w:tr>
      <w:tr>
        <w:trPr>
          <w:cantSplit/>
        </w:trPr>
        <w:tc>
          <w:tcPr>
            <w:tcW w:type="dxa" w:w="23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M23 Requester portal</w:t>
            </w:r>
          </w:p>
        </w:tc>
        <w:tc>
          <w:tcPr>
            <w:tcW w:type="dxa" w:w="77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New requester-facing views and commands over M21; no competing ticket database.</w:t>
            </w:r>
          </w:p>
        </w:tc>
      </w:tr>
    </w:tbl>
    <w:p>
      <w:pPr>
        <w:pStyle w:val="Svc0_Heading2"/>
      </w:pPr>
      <w:r>
        <w:t>Common intake path</w:t>
      </w:r>
    </w:p>
    <w:p>
      <w:r>
        <w:t>Mailbox → M22 intake ledger → matching and correlation → M21 command handler. Requester portal → authenticated M23 command → the same M21 handler. Both paths use one ticket identity, revision, assignment model and event stream. The ticket board is a projection, not a second source of truth.</w:t>
      </w:r>
    </w:p>
    <w:p>
      <w:r>
        <w:t>Extend M09 WorkReference support to M21 without letting routing write the owning aggregate. Trusted audit, membership decisions, private notes, approval decisions, connector checkpoints and command receipts stay operator-side. Customer-held facts and search content cannot become execution authority.</w:t>
      </w:r>
    </w:p>
    <w:p>
      <w:pPr>
        <w:pStyle w:val="Svc0_Heading2"/>
      </w:pPr>
      <w:r>
        <w:t>Notification failures and permissions</w:t>
      </w:r>
    </w:p>
    <w:p>
      <w:r>
        <w:t>IT 30  Public comments, read-only attachment downloads and requester approvals use separate permissions. A request approval is not a privileged infrastructure execution approval. Route actual access/resource changes through the existing M12/M13 authority and separation-of-duties gates.</w:t>
      </w:r>
    </w:p>
    <w:p>
      <w:bookmarkStart w:id="120" w:name="orca_ch_120"/>
      <w:pPr>
        <w:pStyle w:val="Svc0_Heading1"/>
      </w:pPr>
      <w:r>
        <w:t>16  Service requests problems changes and knowledge</w:t>
      </w:r>
      <w:bookmarkEnd w:id="120"/>
    </w:p>
    <w:p>
      <w:r>
        <w:t>IT 34  Reuse M14: New, Assessed, Investigating, Known Error where a documented workaround exists, Fix Planned, Resolved, Closed; reasoned cancellation is supported. Link recurring incidents, root-cause evidence, workarounds and prevention actions. Resolving an incident does not close its problem.</w:t>
      </w:r>
    </w:p>
    <w:p>
      <w:r>
        <w:t>IT 35  Reuse M13: Draft, Assessment, Awaiting Approval, Scheduled, Implementing, Validation, Closed; Rejected, Cancelled and Failed outcomes are explicit. Support Standard, Normal and Emergency change paths, with risk, affected services/assets, conflict calendar, implementation/rollback plan and post-review. Emergency changes retain retrospective review and must not bypass execution authority.</w:t>
      </w:r>
    </w:p>
    <w:p>
      <w:bookmarkStart w:id="121" w:name="orca_ch_121"/>
      <w:pPr>
        <w:pStyle w:val="Svc0_Heading1"/>
      </w:pPr>
      <w:r>
        <w:t>18  API contracts and concurrency</w:t>
      </w:r>
      <w:bookmarkEnd w:id="121"/>
    </w:p>
    <w:p>
      <w:r>
        <w:t>Use the existing trusted /t/{code} resolver. Authentication and tenant resolution come from server context; body fields cannot select another database. Requester endpoints return a restricted DTO, not an analyst object with hidden fields.</w:t>
      </w:r>
    </w:p>
    <w:tbl>
      <w:tblPr>
        <w:tblW w:type="auto" w:w="0"/>
        <w:tblLayout w:type="fixed"/>
        <w:tblLook w:firstColumn="1" w:firstRow="1" w:lastColumn="0" w:lastRow="0" w:noHBand="0" w:noVBand="1" w:val="04A0"/>
      </w:tblPr>
      <w:tblGrid>
        <w:gridCol w:w="4104"/>
        <w:gridCol w:w="5976"/>
      </w:tblGrid>
      <w:tr>
        <w:trPr>
          <w:tblHeade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Route</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Contract and enforcement</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POST /api/v1/t/{code}/tickets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Create incident/request. Body: type, title, description, serviceId, impact, urgency, attachmentRefs, clientRequestId. Return 201 ticketId/number/revision; approval/priority/routing remain server-owned.</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GET /api/v1/t/{code}/my-tickets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Own/delegated tickets only; filters and counts scoped before pagination.</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GET /api/v1/t/{code}/tickets/{id}</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Return requester or analyst projection according to authorisation.</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POST .../tickets/{id}/transitions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Body: targetState, reason, resolution fields, expectedRevision. Validate workflow and ownership; 409 for stale revision.</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POST .../tickets/{id}/assignments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Body: groupId, optional assigneeId, reason, expectedRevision. Verify group eligibility and M09 proposal where used.</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POST .../tickets/{id}/comments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Body: text, visibility, fileRefs, clientRequestId. Requesters cannot create private operational notes or publish private files.</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POST .../mailbox-connectors/{id}/rule-tests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Authorised dry-run; return matched rule and proposed action, without creating or sending.</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POST .../mailbox-connectors/{id}/replays</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Scoped replay with reason and audit; reuse receipt idempotency, no historical mass-create by default.</w:t>
            </w:r>
          </w:p>
        </w:tc>
      </w:tr>
      <w:tr>
        <w:trPr>
          <w:cantSplit/>
        </w:trPr>
        <w:tc>
          <w:tcPr>
            <w:tcW w:type="dxa" w:w="410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GET .../files/{id}/versions/{v}/download</w:t>
            </w:r>
          </w:p>
        </w:tc>
        <w:tc>
          <w:tcPr>
            <w:tcW w:type="dxa" w:w="597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Ordinary file-read authorisation, scan/custody and visibility checks; no download-grant lookup.</w:t>
            </w:r>
          </w:p>
        </w:tc>
      </w:tr>
    </w:tbl>
    <w:p>
      <w:bookmarkStart w:id="122" w:name="orca_ch_122"/>
      <w:pPr>
        <w:pStyle w:val="Svc0_Heading1"/>
      </w:pPr>
      <w:r>
        <w:t>20  Acceptance criteria and test scenarios</w:t>
      </w:r>
      <w:bookmarkEnd w:id="122"/>
    </w:p>
    <w:tbl>
      <w:tblPr>
        <w:tblW w:type="auto" w:w="0"/>
        <w:tblLayout w:type="fixed"/>
        <w:tblLook w:firstColumn="1" w:firstRow="1" w:lastColumn="0" w:lastRow="0" w:noHBand="0" w:noVBand="1" w:val="04A0"/>
      </w:tblPr>
      <w:tblGrid>
        <w:gridCol w:w="1944"/>
        <w:gridCol w:w="8136"/>
      </w:tblGrid>
      <w:tr>
        <w:trPr>
          <w:tblHeade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Test</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Required outcome</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ITSM-A01 Mail rule</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Approved subject/sender rule creates one correctly typed ticket in the board with recorded rule/version.</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ITSM-A02 Nonmatch and overlap</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Nonmatching mail creates no ticket; overlapping rules follow first-match and explain the result.</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ITSM-A03 Retry and crash</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Duplicate notifications, delta replay and crash after create produce one ticket and one comment.</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ITSM-A04 Missing notifications</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Webhook outage, expiry or lost consent is visible; delta recovery catches retained messages without duplicates.</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ITSM-A05 Hostile mail</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Spoofed tenant tag, loop, bounce, unsafe HTML and bad attachments do not create privilege or data leakage.</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ITSM-A06 Portal convergence</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Authenticated requester ticket enters the same board and receives the same lifecycle as equivalent mail intake.</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ITSM-A07 Requester isolation</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Own/delegated filtering holds for IDs, search counts, comments, attachments, exports and notifications.</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ITSM-A08 Group ownership</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Eligible group accepts; ineligible transfer fails; off-shift fallback retains accountability; races return conflict.</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ITSM-A09 Status guards</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Invalid close/resolve fails. Mandatory resolution/task conditions and controlled reopen are enforced.</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ITSM-A10 SLA correctness</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DST, holidays, approved pause, reassignment, priority change and reopen preserve consumed time and breach history.</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ITSM-A11 Request fulfilment</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Approval/task dependencies gate completion; self-approval and unauthorised execution fail.</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ITSM-A12 Security separation</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ITSM resolution does not close M04; linked security content remains separately authorised.</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ITSM-A13 Attachment simplification</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Eligible file reader can preview/download without a separate grant; denied reader and malicious evidence remain blocked.</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ITSM-A14 Component policy</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No Syncfusion packages, scripts, licence keys or editor calls in the delivered module dependency manifest.</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ITSM-A15 Full path recovery</w:t>
            </w:r>
          </w:p>
        </w:tc>
        <w:tc>
          <w:tcPr>
            <w:tcW w:type="dxa" w:w="813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Intent/Outcome, idempotent receipts, notification failures and restored checkpoints do not lose or multiply work.</w:t>
            </w:r>
          </w:p>
        </w:tc>
      </w:tr>
    </w:tbl>
    <w:p>
      <w:bookmarkStart w:id="123" w:name="orca_ch_123"/>
      <w:pPr>
        <w:pStyle w:val="Svc0_Heading1"/>
      </w:pPr>
      <w:r>
        <w:t>21  Release backlog and decisions to close</w:t>
      </w:r>
      <w:bookmarkEnd w:id="123"/>
    </w:p>
    <w:tbl>
      <w:tblPr>
        <w:tblW w:type="auto" w:w="0"/>
        <w:tblLayout w:type="fixed"/>
        <w:tblLook w:firstColumn="1" w:firstRow="1" w:lastColumn="0" w:lastRow="0" w:noHBand="0" w:noVBand="1" w:val="04A0"/>
      </w:tblPr>
      <w:tblGrid>
        <w:gridCol w:w="1296"/>
        <w:gridCol w:w="5040"/>
        <w:gridCol w:w="3744"/>
      </w:tblGrid>
      <w:tr>
        <w:trPr>
          <w:tblHeade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Increment</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Scope</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63E50"/>
          </w:tcPr>
          <w:p>
            <w:pPr>
              <w:spacing w:after="40" w:line="245" w:lineRule="auto"/>
            </w:pPr>
            <w:r>
              <w:rPr>
                <w:b/>
                <w:color w:val="FFFFFF"/>
                <w:sz w:val="18"/>
              </w:rPr>
              <w:t>Release gate</w:t>
            </w:r>
          </w:p>
        </w:tc>
      </w:tr>
      <w:tr>
        <w:trP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I0 Contracts and pilot</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Mailbox consent/scope test, UAM/record boundaries, priority/calendar/rule workshop and provider proof.</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Out-of-scope mailbox denied; representative mail replay and type-policy decisions recorded.</w:t>
            </w:r>
          </w:p>
        </w:tc>
      </w:tr>
      <w:tr>
        <w:trP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I1 Simplify File Store</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Remove download controls and Syncfusion dependency; retain safe previews, scanning, file read and formats.</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ITSM-A13–ITSM-A14 and File Store regression pass.</w:t>
            </w:r>
          </w:p>
        </w:tc>
      </w:tr>
      <w:tr>
        <w:trP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I2 Core ITSM and portal</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M21/M23 incident create/read, board, groups, public/private messages, lifecycle and own-ticket access.</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ITSM-A06–ITSM-A09 and isolation tests pass before exposure.</w:t>
            </w:r>
          </w:p>
        </w:tc>
      </w:tr>
      <w:tr>
        <w:trP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I3 Mailbox ingestion</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M22 rules, delta worker, receipts, correlation, optional webhook and monitored retry/replay.</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ITSM-A01–ITSM-A05 and crash recovery pass; no outbound send by default.</w:t>
            </w:r>
          </w:p>
        </w:tc>
      </w:tr>
      <w:tr>
        <w:trP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I4 Service operations</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rPr>
                <w:sz w:val="18"/>
              </w:rPr>
              <w:t>SLA/OLA, escalations, major incidents, requests, catalogue, approvals and tasks.</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40" w:line="245" w:lineRule="auto"/>
            </w:pPr>
            <w:r>
              <w:t>ITSM-A10–ITSM-A11 and calendar/load tests pass.</w:t>
            </w:r>
          </w:p>
        </w:tc>
      </w:tr>
      <w:tr>
        <w:trPr>
          <w:cantSplit/>
        </w:trPr>
        <w:tc>
          <w:tcPr>
            <w:tcW w:type="dxa" w:w="129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I5 End to end</w:t>
            </w:r>
          </w:p>
        </w:tc>
        <w:tc>
          <w:tcPr>
            <w:tcW w:type="dxa" w:w="504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rPr>
                <w:sz w:val="18"/>
              </w:rPr>
              <w:t>M13/M14, knowledge, service/assets, M04 links, reporting, optional authorised mail notifications and DR.</w:t>
            </w:r>
          </w:p>
        </w:tc>
        <w:tc>
          <w:tcPr>
            <w:tcW w:type="dxa" w:w="37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1F5F7"/>
          </w:tcPr>
          <w:p>
            <w:pPr>
              <w:spacing w:after="40" w:line="245" w:lineRule="auto"/>
            </w:pPr>
            <w:r>
              <w:t>ITSM-A12/ITSM-A15, privacy, support runbooks and complete user acceptance pass.</w:t>
            </w:r>
          </w:p>
        </w:tc>
      </w:tr>
    </w:tbl>
    <w:p>
      <w:r>
        <w:t>Optimisation, licensing and score releases retain programme precedence. The incident increments above describe order inside that phase; they do not force a new first release of the whole product. M21/M22/M23 IDs extend the current 20-engine register without renumbering existing engines.</w:t>
      </w:r>
    </w:p>
    <w:p>
      <w:bookmarkStart w:id="124" w:name="orca_ch_124"/>
      <w:pPr>
        <w:pStyle w:val="SvcHead1_Heading1"/>
      </w:pPr>
      <w:r>
        <w:t>Integrated service management detail 2</w:t>
      </w:r>
      <w:bookmarkEnd w:id="124"/>
    </w:p>
    <w:p>
      <w:r>
        <w:t>Additional detailed records and requirements retained from the service-management design. Confirmed theme, custody, permission and release corrections in this master apply to every table and workflow here.</w:t>
      </w:r>
    </w:p>
    <w:p>
      <w:r>
        <w:t>Mailbox intake and requester portal</w:t>
        <w:br/>
        <w:t>Version 1.0  |  26 October 2026  |  By Threat Intelligence Bureau LTD</w:t>
      </w:r>
    </w:p>
    <w:p>
      <w:r>
        <w:t>New M21 owns ITSM records, M22 owns mailbox intake and M23 provides requester views. Reuse existing UAM, File Store, routing/shifts, notification, asset, problem and change capabilities. Existing security incidents retain their NIST-aligned lifecycle and supported Microsoft synchronisation. ITSM tickets are not automatically security incidents.</w:t>
      </w:r>
    </w:p>
    <w:p>
      <w:r>
        <w:t>The attachment decision has also changed: authorised readers may download ordinary eligible attachments. No separate download grants, protected-preview control or Syncfusion component dependency is required. Tenant/file access, public/private notes, malware handling and evidence custody remain enforced. The companion version 2.0 requirements update contains the full File Store format catalogue.</w:t>
      </w:r>
    </w:p>
    <w:p>
      <w:r>
        <w:t>The detailed sections below specify required outcomes and suggested implementation boundaries. Status names and targets are proposed Orca defaults, not a prescribed universal ITIL workflow. Confirm mailbox rules, groups, SLA targets, catalogue items and outbound email policy before production enablement.</w:t>
      </w:r>
    </w:p>
    <w:p>
      <w:bookmarkStart w:id="125" w:name="orca_ch_125"/>
      <w:pPr>
        <w:pStyle w:val="LegacyHead0_Heading1"/>
      </w:pPr>
      <w:r>
        <w:t>Carried forward findings and traceability 1</w:t>
      </w:r>
      <w:bookmarkEnd w:id="125"/>
    </w:p>
    <w:p>
      <w:r>
        <w:t>Retained finding and evidence identifiers from the detailed v5 baseline. A historical “Resolved” or “Verified” disposition describes that source review, not current implementation completion or a fresh API capability check. Current 23-engine scope and confirmed decisions govern any older labels. No missing finding is invented to fill a numbering gap.</w:t>
      </w:r>
    </w:p>
    <w:tbl>
      <w:tblPr>
        <w:tblStyle w:val="Legacy0_LightShading-Accent1"/>
        <w:tblW w:type="auto" w:w="0"/>
        <w:tblLook w:firstColumn="1" w:firstRow="1" w:lastColumn="0" w:lastRow="0" w:noHBand="0" w:noVBand="1" w:val="04A0"/>
      </w:tblPr>
      <w:tblGrid>
        <w:gridCol w:w="2592"/>
        <w:gridCol w:w="2592"/>
        <w:gridCol w:w="2592"/>
        <w:gridCol w:w="2592"/>
      </w:tblGrid>
      <w:tr>
        <w:trPr>
          <w:tblHeader/>
          <w:cantSplit/>
        </w:trPr>
        <w:tc>
          <w:tcPr>
            <w:tcW w:type="dxa" w:w="2592"/>
          </w:tcPr>
          <w:p>
            <w:r>
              <w:rPr>
                <w:sz w:val="18"/>
              </w:rPr>
              <w:t>App role value</w:t>
            </w:r>
          </w:p>
        </w:tc>
        <w:tc>
          <w:tcPr>
            <w:tcW w:type="dxa" w:w="2592"/>
          </w:tcPr>
          <w:p>
            <w:r>
              <w:rPr>
                <w:sz w:val="18"/>
              </w:rPr>
              <w:t>Role</w:t>
            </w:r>
          </w:p>
        </w:tc>
        <w:tc>
          <w:tcPr>
            <w:tcW w:type="dxa" w:w="2592"/>
          </w:tcPr>
          <w:p>
            <w:r>
              <w:rPr>
                <w:sz w:val="18"/>
              </w:rPr>
              <w:t>Permission ceiling</w:t>
            </w:r>
          </w:p>
        </w:tc>
        <w:tc>
          <w:tcPr>
            <w:tcW w:type="dxa" w:w="2592"/>
          </w:tcPr>
          <w:p>
            <w:r>
              <w:rPr>
                <w:sz w:val="18"/>
              </w:rPr>
              <w:t>Restriction</w:t>
            </w:r>
          </w:p>
        </w:tc>
      </w:tr>
      <w:tr>
        <w:trPr>
          <w:cantSplit/>
        </w:trPr>
        <w:tc>
          <w:tcPr>
            <w:tcW w:type="dxa" w:w="2592"/>
          </w:tcPr>
          <w:p>
            <w:r>
              <w:rPr>
                <w:sz w:val="18"/>
              </w:rPr>
              <w:t>SOC.L1</w:t>
            </w:r>
          </w:p>
        </w:tc>
        <w:tc>
          <w:tcPr>
            <w:tcW w:type="dxa" w:w="2592"/>
          </w:tcPr>
          <w:p>
            <w:r>
              <w:rPr>
                <w:sz w:val="18"/>
              </w:rPr>
              <w:t>L1 SOC Analyst</w:t>
            </w:r>
          </w:p>
        </w:tc>
        <w:tc>
          <w:tcPr>
            <w:tcW w:type="dxa" w:w="2592"/>
          </w:tcPr>
          <w:p>
            <w:r>
              <w:rPr>
                <w:sz w:val="18"/>
              </w:rPr>
              <w:t>Read scoped incidents enrich triage add notes acknowledge assign self</w:t>
            </w:r>
          </w:p>
        </w:tc>
        <w:tc>
          <w:tcPr>
            <w:tcW w:type="dxa" w:w="2592"/>
          </w:tcPr>
          <w:p>
            <w:r>
              <w:rPr>
                <w:sz w:val="18"/>
              </w:rPr>
              <w:t>Cannot close confirmed high severity or execute containment</w:t>
            </w:r>
          </w:p>
        </w:tc>
      </w:tr>
      <w:tr>
        <w:trPr>
          <w:cantSplit/>
        </w:trPr>
        <w:tc>
          <w:tcPr>
            <w:tcW w:type="dxa" w:w="2592"/>
          </w:tcPr>
          <w:p>
            <w:r>
              <w:rPr>
                <w:sz w:val="18"/>
              </w:rPr>
              <w:t>SOC.L2</w:t>
            </w:r>
          </w:p>
        </w:tc>
        <w:tc>
          <w:tcPr>
            <w:tcW w:type="dxa" w:w="2592"/>
          </w:tcPr>
          <w:p>
            <w:r>
              <w:rPr>
                <w:sz w:val="18"/>
              </w:rPr>
              <w:t>L2 SOC Analyst</w:t>
            </w:r>
          </w:p>
        </w:tc>
        <w:tc>
          <w:tcPr>
            <w:tcW w:type="dxa" w:w="2592"/>
          </w:tcPr>
          <w:p>
            <w:r>
              <w:rPr>
                <w:sz w:val="18"/>
              </w:rPr>
              <w:t>Investigate correlate classify recommend playbooks</w:t>
            </w:r>
          </w:p>
        </w:tc>
        <w:tc>
          <w:tcPr>
            <w:tcW w:type="dxa" w:w="2592"/>
          </w:tcPr>
          <w:p>
            <w:r>
              <w:rPr>
                <w:sz w:val="18"/>
              </w:rPr>
              <w:t>Response execution and high severity closure separately granted</w:t>
            </w:r>
          </w:p>
        </w:tc>
      </w:tr>
      <w:tr>
        <w:trPr>
          <w:cantSplit/>
        </w:trPr>
        <w:tc>
          <w:tcPr>
            <w:tcW w:type="dxa" w:w="2592"/>
          </w:tcPr>
          <w:p>
            <w:r>
              <w:rPr>
                <w:sz w:val="18"/>
              </w:rPr>
              <w:t>SOC.L3</w:t>
            </w:r>
          </w:p>
        </w:tc>
        <w:tc>
          <w:tcPr>
            <w:tcW w:type="dxa" w:w="2592"/>
          </w:tcPr>
          <w:p>
            <w:r>
              <w:rPr>
                <w:sz w:val="18"/>
              </w:rPr>
              <w:t>L3 Senior Analyst</w:t>
            </w:r>
          </w:p>
        </w:tc>
        <w:tc>
          <w:tcPr>
            <w:tcW w:type="dxa" w:w="2592"/>
          </w:tcPr>
          <w:p>
            <w:r>
              <w:rPr>
                <w:sz w:val="18"/>
              </w:rPr>
              <w:t>Complex investigation escalation technical review</w:t>
            </w:r>
          </w:p>
        </w:tc>
        <w:tc>
          <w:tcPr>
            <w:tcW w:type="dxa" w:w="2592"/>
          </w:tcPr>
          <w:p>
            <w:r>
              <w:rPr>
                <w:sz w:val="18"/>
              </w:rPr>
              <w:t>No automatic UAM or platform admin</w:t>
            </w:r>
          </w:p>
        </w:tc>
      </w:tr>
      <w:tr>
        <w:trPr>
          <w:cantSplit/>
        </w:trPr>
        <w:tc>
          <w:tcPr>
            <w:tcW w:type="dxa" w:w="2592"/>
          </w:tcPr>
          <w:p>
            <w:r>
              <w:rPr>
                <w:sz w:val="18"/>
              </w:rPr>
              <w:t>SOC.Hunter</w:t>
            </w:r>
          </w:p>
        </w:tc>
        <w:tc>
          <w:tcPr>
            <w:tcW w:type="dxa" w:w="2592"/>
          </w:tcPr>
          <w:p>
            <w:r>
              <w:rPr>
                <w:sz w:val="18"/>
              </w:rPr>
              <w:t>Threat Hunter</w:t>
            </w:r>
          </w:p>
        </w:tc>
        <w:tc>
          <w:tcPr>
            <w:tcW w:type="dxa" w:w="2592"/>
          </w:tcPr>
          <w:p>
            <w:r>
              <w:rPr>
                <w:sz w:val="18"/>
              </w:rPr>
              <w:t>Approved read only hunting queries create findings</w:t>
            </w:r>
          </w:p>
        </w:tc>
        <w:tc>
          <w:tcPr>
            <w:tcW w:type="dxa" w:w="2592"/>
          </w:tcPr>
          <w:p>
            <w:r>
              <w:rPr>
                <w:sz w:val="18"/>
              </w:rPr>
              <w:t>No unrestricted query or response execution</w:t>
            </w:r>
          </w:p>
        </w:tc>
      </w:tr>
      <w:tr>
        <w:trPr>
          <w:cantSplit/>
        </w:trPr>
        <w:tc>
          <w:tcPr>
            <w:tcW w:type="dxa" w:w="2592"/>
          </w:tcPr>
          <w:p>
            <w:r>
              <w:rPr>
                <w:sz w:val="18"/>
              </w:rPr>
              <w:t>IR.Engineer</w:t>
            </w:r>
          </w:p>
        </w:tc>
        <w:tc>
          <w:tcPr>
            <w:tcW w:type="dxa" w:w="2592"/>
          </w:tcPr>
          <w:p>
            <w:r>
              <w:rPr>
                <w:sz w:val="18"/>
              </w:rPr>
              <w:t>Incident Response Engineer</w:t>
            </w:r>
          </w:p>
        </w:tc>
        <w:tc>
          <w:tcPr>
            <w:tcW w:type="dxa" w:w="2592"/>
          </w:tcPr>
          <w:p>
            <w:r>
              <w:rPr>
                <w:sz w:val="18"/>
              </w:rPr>
              <w:t>Execute approved containment eradication recovery tasks</w:t>
            </w:r>
          </w:p>
        </w:tc>
        <w:tc>
          <w:tcPr>
            <w:tcW w:type="dxa" w:w="2592"/>
          </w:tcPr>
          <w:p>
            <w:r>
              <w:rPr>
                <w:sz w:val="18"/>
              </w:rPr>
              <w:t>Cannot approve own actions</w:t>
            </w:r>
          </w:p>
        </w:tc>
      </w:tr>
      <w:tr>
        <w:trPr>
          <w:cantSplit/>
        </w:trPr>
        <w:tc>
          <w:tcPr>
            <w:tcW w:type="dxa" w:w="2592"/>
          </w:tcPr>
          <w:p>
            <w:r>
              <w:rPr>
                <w:sz w:val="18"/>
              </w:rPr>
              <w:t>IR.Lead</w:t>
            </w:r>
          </w:p>
        </w:tc>
        <w:tc>
          <w:tcPr>
            <w:tcW w:type="dxa" w:w="2592"/>
          </w:tcPr>
          <w:p>
            <w:r>
              <w:rPr>
                <w:sz w:val="18"/>
              </w:rPr>
              <w:t>Incident Response Lead</w:t>
            </w:r>
          </w:p>
        </w:tc>
        <w:tc>
          <w:tcPr>
            <w:tcW w:type="dxa" w:w="2592"/>
          </w:tcPr>
          <w:p>
            <w:r>
              <w:rPr>
                <w:sz w:val="18"/>
              </w:rPr>
              <w:t>Command response approve eligible high risk actions</w:t>
            </w:r>
          </w:p>
        </w:tc>
        <w:tc>
          <w:tcPr>
            <w:tcW w:type="dxa" w:w="2592"/>
          </w:tcPr>
          <w:p>
            <w:r>
              <w:rPr>
                <w:sz w:val="18"/>
              </w:rPr>
              <w:t>Cannot approve actions they requested or materially authored</w:t>
            </w:r>
          </w:p>
        </w:tc>
      </w:tr>
      <w:tr>
        <w:trPr>
          <w:cantSplit/>
        </w:trPr>
        <w:tc>
          <w:tcPr>
            <w:tcW w:type="dxa" w:w="2592"/>
          </w:tcPr>
          <w:p>
            <w:r>
              <w:rPr>
                <w:sz w:val="18"/>
              </w:rPr>
              <w:t>IR.Commander</w:t>
            </w:r>
          </w:p>
        </w:tc>
        <w:tc>
          <w:tcPr>
            <w:tcW w:type="dxa" w:w="2592"/>
          </w:tcPr>
          <w:p>
            <w:r>
              <w:rPr>
                <w:sz w:val="18"/>
              </w:rPr>
              <w:t>Major Incident Commander</w:t>
            </w:r>
          </w:p>
        </w:tc>
        <w:tc>
          <w:tcPr>
            <w:tcW w:type="dxa" w:w="2592"/>
          </w:tcPr>
          <w:p>
            <w:r>
              <w:rPr>
                <w:sz w:val="18"/>
              </w:rPr>
              <w:t>Declare major incident coordinate priorities communications recovery gates</w:t>
            </w:r>
          </w:p>
        </w:tc>
        <w:tc>
          <w:tcPr>
            <w:tcW w:type="dxa" w:w="2592"/>
          </w:tcPr>
          <w:p>
            <w:r>
              <w:rPr>
                <w:sz w:val="18"/>
              </w:rPr>
              <w:t>Separate technical execution permission</w:t>
            </w:r>
          </w:p>
        </w:tc>
      </w:tr>
      <w:tr>
        <w:trPr>
          <w:cantSplit/>
        </w:trPr>
        <w:tc>
          <w:tcPr>
            <w:tcW w:type="dxa" w:w="2592"/>
          </w:tcPr>
          <w:p>
            <w:r>
              <w:rPr>
                <w:sz w:val="18"/>
              </w:rPr>
              <w:t>DFIR.Analyst</w:t>
            </w:r>
          </w:p>
        </w:tc>
        <w:tc>
          <w:tcPr>
            <w:tcW w:type="dxa" w:w="2592"/>
          </w:tcPr>
          <w:p>
            <w:r>
              <w:rPr>
                <w:sz w:val="18"/>
              </w:rPr>
              <w:t>Digital Forensics Analyst</w:t>
            </w:r>
          </w:p>
        </w:tc>
        <w:tc>
          <w:tcPr>
            <w:tcW w:type="dxa" w:w="2592"/>
          </w:tcPr>
          <w:p>
            <w:r>
              <w:rPr>
                <w:sz w:val="18"/>
              </w:rPr>
              <w:t>Collect analyse hashed evidence maintain custody</w:t>
            </w:r>
          </w:p>
        </w:tc>
        <w:tc>
          <w:tcPr>
            <w:tcW w:type="dxa" w:w="2592"/>
          </w:tcPr>
          <w:p>
            <w:r>
              <w:rPr>
                <w:sz w:val="18"/>
              </w:rPr>
              <w:t>Restricted evidence export requires extra grant</w:t>
            </w:r>
          </w:p>
        </w:tc>
      </w:tr>
      <w:tr>
        <w:trPr>
          <w:cantSplit/>
        </w:trPr>
        <w:tc>
          <w:tcPr>
            <w:tcW w:type="dxa" w:w="2592"/>
          </w:tcPr>
          <w:p>
            <w:r>
              <w:rPr>
                <w:sz w:val="18"/>
              </w:rPr>
              <w:t>DFIR.Custodian</w:t>
            </w:r>
          </w:p>
        </w:tc>
        <w:tc>
          <w:tcPr>
            <w:tcW w:type="dxa" w:w="2592"/>
          </w:tcPr>
          <w:p>
            <w:r>
              <w:rPr>
                <w:sz w:val="18"/>
              </w:rPr>
              <w:t>Evidence Custodian</w:t>
            </w:r>
          </w:p>
        </w:tc>
        <w:tc>
          <w:tcPr>
            <w:tcW w:type="dxa" w:w="2592"/>
          </w:tcPr>
          <w:p>
            <w:r>
              <w:rPr>
                <w:sz w:val="18"/>
              </w:rPr>
              <w:t>Manage evidence access chain custody legal hold</w:t>
            </w:r>
          </w:p>
        </w:tc>
        <w:tc>
          <w:tcPr>
            <w:tcW w:type="dxa" w:w="2592"/>
          </w:tcPr>
          <w:p>
            <w:r>
              <w:rPr>
                <w:sz w:val="18"/>
              </w:rPr>
              <w:t>No unilateral evidence destruction</w:t>
            </w:r>
          </w:p>
        </w:tc>
      </w:tr>
      <w:tr>
        <w:trPr>
          <w:cantSplit/>
        </w:trPr>
        <w:tc>
          <w:tcPr>
            <w:tcW w:type="dxa" w:w="2592"/>
          </w:tcPr>
          <w:p>
            <w:r>
              <w:rPr>
                <w:sz w:val="18"/>
              </w:rPr>
              <w:t>Eng.Detection</w:t>
            </w:r>
          </w:p>
        </w:tc>
        <w:tc>
          <w:tcPr>
            <w:tcW w:type="dxa" w:w="2592"/>
          </w:tcPr>
          <w:p>
            <w:r>
              <w:rPr>
                <w:sz w:val="18"/>
              </w:rPr>
              <w:t>Detection Engineer</w:t>
            </w:r>
          </w:p>
        </w:tc>
        <w:tc>
          <w:tcPr>
            <w:tcW w:type="dxa" w:w="2592"/>
          </w:tcPr>
          <w:p>
            <w:r>
              <w:rPr>
                <w:sz w:val="18"/>
              </w:rPr>
              <w:t>Version detection logic test publish through review</w:t>
            </w:r>
          </w:p>
        </w:tc>
        <w:tc>
          <w:tcPr>
            <w:tcW w:type="dxa" w:w="2592"/>
          </w:tcPr>
          <w:p>
            <w:r>
              <w:rPr>
                <w:sz w:val="18"/>
              </w:rPr>
              <w:t>No production self approval</w:t>
            </w:r>
          </w:p>
        </w:tc>
      </w:tr>
      <w:tr>
        <w:trPr>
          <w:cantSplit/>
        </w:trPr>
        <w:tc>
          <w:tcPr>
            <w:tcW w:type="dxa" w:w="2592"/>
          </w:tcPr>
          <w:p>
            <w:r>
              <w:rPr>
                <w:sz w:val="18"/>
              </w:rPr>
              <w:t>Eng.Security</w:t>
            </w:r>
          </w:p>
        </w:tc>
        <w:tc>
          <w:tcPr>
            <w:tcW w:type="dxa" w:w="2592"/>
          </w:tcPr>
          <w:p>
            <w:r>
              <w:rPr>
                <w:sz w:val="18"/>
              </w:rPr>
              <w:t>Security Engineer</w:t>
            </w:r>
          </w:p>
        </w:tc>
        <w:tc>
          <w:tcPr>
            <w:tcW w:type="dxa" w:w="2592"/>
          </w:tcPr>
          <w:p>
            <w:r>
              <w:rPr>
                <w:sz w:val="18"/>
              </w:rPr>
              <w:t>Maintain approved integrations response implementations</w:t>
            </w:r>
          </w:p>
        </w:tc>
        <w:tc>
          <w:tcPr>
            <w:tcW w:type="dxa" w:w="2592"/>
          </w:tcPr>
          <w:p>
            <w:r>
              <w:rPr>
                <w:sz w:val="18"/>
              </w:rPr>
              <w:t>Cannot bypass response policy</w:t>
            </w:r>
          </w:p>
        </w:tc>
      </w:tr>
      <w:tr>
        <w:trPr>
          <w:cantSplit/>
        </w:trPr>
        <w:tc>
          <w:tcPr>
            <w:tcW w:type="dxa" w:w="2592"/>
          </w:tcPr>
          <w:p>
            <w:r>
              <w:rPr>
                <w:sz w:val="18"/>
              </w:rPr>
              <w:t>Eng.SOAR</w:t>
            </w:r>
          </w:p>
        </w:tc>
        <w:tc>
          <w:tcPr>
            <w:tcW w:type="dxa" w:w="2592"/>
          </w:tcPr>
          <w:p>
            <w:r>
              <w:rPr>
                <w:sz w:val="18"/>
              </w:rPr>
              <w:t>Automation Engineer</w:t>
            </w:r>
          </w:p>
        </w:tc>
        <w:tc>
          <w:tcPr>
            <w:tcW w:type="dxa" w:w="2592"/>
          </w:tcPr>
          <w:p>
            <w:r>
              <w:rPr>
                <w:sz w:val="18"/>
              </w:rPr>
              <w:t>Author test and version playbooks</w:t>
            </w:r>
          </w:p>
        </w:tc>
        <w:tc>
          <w:tcPr>
            <w:tcW w:type="dxa" w:w="2592"/>
          </w:tcPr>
          <w:p>
            <w:r>
              <w:rPr>
                <w:sz w:val="18"/>
              </w:rPr>
              <w:t>Cannot approve own production publication</w:t>
            </w:r>
          </w:p>
        </w:tc>
      </w:tr>
      <w:tr>
        <w:trPr>
          <w:cantSplit/>
        </w:trPr>
        <w:tc>
          <w:tcPr>
            <w:tcW w:type="dxa" w:w="2592"/>
          </w:tcPr>
          <w:p>
            <w:r>
              <w:rPr>
                <w:sz w:val="18"/>
              </w:rPr>
              <w:t>Eng.ThreatIntel</w:t>
            </w:r>
          </w:p>
        </w:tc>
        <w:tc>
          <w:tcPr>
            <w:tcW w:type="dxa" w:w="2592"/>
          </w:tcPr>
          <w:p>
            <w:r>
              <w:rPr>
                <w:sz w:val="18"/>
              </w:rPr>
              <w:t>Threat Intelligence Analyst</w:t>
            </w:r>
          </w:p>
        </w:tc>
        <w:tc>
          <w:tcPr>
            <w:tcW w:type="dxa" w:w="2592"/>
          </w:tcPr>
          <w:p>
            <w:r>
              <w:rPr>
                <w:sz w:val="18"/>
              </w:rPr>
              <w:t>Curate indicators confidence expiry knowledge</w:t>
            </w:r>
          </w:p>
        </w:tc>
        <w:tc>
          <w:tcPr>
            <w:tcW w:type="dxa" w:w="2592"/>
          </w:tcPr>
          <w:p>
            <w:r>
              <w:rPr>
                <w:sz w:val="18"/>
              </w:rPr>
              <w:t>No unreviewed global blocking</w:t>
            </w:r>
          </w:p>
        </w:tc>
      </w:tr>
      <w:tr>
        <w:trPr>
          <w:cantSplit/>
        </w:trPr>
        <w:tc>
          <w:tcPr>
            <w:tcW w:type="dxa" w:w="2592"/>
          </w:tcPr>
          <w:p>
            <w:r>
              <w:rPr>
                <w:sz w:val="18"/>
              </w:rPr>
              <w:t>Eng.Identity</w:t>
            </w:r>
          </w:p>
        </w:tc>
        <w:tc>
          <w:tcPr>
            <w:tcW w:type="dxa" w:w="2592"/>
          </w:tcPr>
          <w:p>
            <w:r>
              <w:rPr>
                <w:sz w:val="18"/>
              </w:rPr>
              <w:t>Identity Security Specialist</w:t>
            </w:r>
          </w:p>
        </w:tc>
        <w:tc>
          <w:tcPr>
            <w:tcW w:type="dxa" w:w="2592"/>
          </w:tcPr>
          <w:p>
            <w:r>
              <w:rPr>
                <w:sz w:val="18"/>
              </w:rPr>
              <w:t>Investigate identity events prepare remediation</w:t>
            </w:r>
          </w:p>
        </w:tc>
        <w:tc>
          <w:tcPr>
            <w:tcW w:type="dxa" w:w="2592"/>
          </w:tcPr>
          <w:p>
            <w:r>
              <w:rPr>
                <w:sz w:val="18"/>
              </w:rPr>
              <w:t>Account actions require specific UAM grant</w:t>
            </w:r>
          </w:p>
        </w:tc>
      </w:tr>
      <w:tr>
        <w:trPr>
          <w:cantSplit/>
        </w:trPr>
        <w:tc>
          <w:tcPr>
            <w:tcW w:type="dxa" w:w="2592"/>
          </w:tcPr>
          <w:p>
            <w:r>
              <w:rPr>
                <w:sz w:val="18"/>
              </w:rPr>
              <w:t>Eng.Cloud</w:t>
            </w:r>
          </w:p>
        </w:tc>
        <w:tc>
          <w:tcPr>
            <w:tcW w:type="dxa" w:w="2592"/>
          </w:tcPr>
          <w:p>
            <w:r>
              <w:rPr>
                <w:sz w:val="18"/>
              </w:rPr>
              <w:t>Cloud Security Specialist</w:t>
            </w:r>
          </w:p>
        </w:tc>
        <w:tc>
          <w:tcPr>
            <w:tcW w:type="dxa" w:w="2592"/>
          </w:tcPr>
          <w:p>
            <w:r>
              <w:rPr>
                <w:sz w:val="18"/>
              </w:rPr>
              <w:t>Investigate cloud posture and workload alerts</w:t>
            </w:r>
          </w:p>
        </w:tc>
        <w:tc>
          <w:tcPr>
            <w:tcW w:type="dxa" w:w="2592"/>
          </w:tcPr>
          <w:p>
            <w:r>
              <w:rPr>
                <w:sz w:val="18"/>
              </w:rPr>
              <w:t>No general subscription owner rights</w:t>
            </w:r>
          </w:p>
        </w:tc>
      </w:tr>
      <w:tr>
        <w:trPr>
          <w:cantSplit/>
        </w:trPr>
        <w:tc>
          <w:tcPr>
            <w:tcW w:type="dxa" w:w="2592"/>
          </w:tcPr>
          <w:p>
            <w:r>
              <w:rPr>
                <w:sz w:val="18"/>
              </w:rPr>
              <w:t>Eng.Email</w:t>
            </w:r>
          </w:p>
        </w:tc>
        <w:tc>
          <w:tcPr>
            <w:tcW w:type="dxa" w:w="2592"/>
          </w:tcPr>
          <w:p>
            <w:r>
              <w:rPr>
                <w:sz w:val="18"/>
              </w:rPr>
              <w:t>Messaging Security Specialist</w:t>
            </w:r>
          </w:p>
        </w:tc>
        <w:tc>
          <w:tcPr>
            <w:tcW w:type="dxa" w:w="2592"/>
          </w:tcPr>
          <w:p>
            <w:r>
              <w:rPr>
                <w:sz w:val="18"/>
              </w:rPr>
              <w:t>Investigate mail and collaboration threats</w:t>
            </w:r>
          </w:p>
        </w:tc>
        <w:tc>
          <w:tcPr>
            <w:tcW w:type="dxa" w:w="2592"/>
          </w:tcPr>
          <w:p>
            <w:r>
              <w:rPr>
                <w:sz w:val="18"/>
              </w:rPr>
              <w:t>Purge or mailbox changes explicitly approved</w:t>
            </w:r>
          </w:p>
        </w:tc>
      </w:tr>
      <w:tr>
        <w:trPr>
          <w:cantSplit/>
        </w:trPr>
        <w:tc>
          <w:tcPr>
            <w:tcW w:type="dxa" w:w="2592"/>
          </w:tcPr>
          <w:p>
            <w:r>
              <w:rPr>
                <w:sz w:val="18"/>
              </w:rPr>
              <w:t>Ops.ShiftLead</w:t>
            </w:r>
          </w:p>
        </w:tc>
        <w:tc>
          <w:tcPr>
            <w:tcW w:type="dxa" w:w="2592"/>
          </w:tcPr>
          <w:p>
            <w:r>
              <w:rPr>
                <w:sz w:val="18"/>
              </w:rPr>
              <w:t>Shift Lead</w:t>
            </w:r>
          </w:p>
        </w:tc>
        <w:tc>
          <w:tcPr>
            <w:tcW w:type="dxa" w:w="2592"/>
          </w:tcPr>
          <w:p>
            <w:r>
              <w:rPr>
                <w:sz w:val="18"/>
              </w:rPr>
              <w:t>Manage active queues handover reassign and escalate</w:t>
            </w:r>
          </w:p>
        </w:tc>
        <w:tc>
          <w:tcPr>
            <w:tcW w:type="dxa" w:w="2592"/>
          </w:tcPr>
          <w:p>
            <w:r>
              <w:rPr>
                <w:sz w:val="18"/>
              </w:rPr>
              <w:t>No default high risk approval</w:t>
            </w:r>
          </w:p>
        </w:tc>
      </w:tr>
      <w:tr>
        <w:trPr>
          <w:cantSplit/>
        </w:trPr>
        <w:tc>
          <w:tcPr>
            <w:tcW w:type="dxa" w:w="2592"/>
          </w:tcPr>
          <w:p>
            <w:r>
              <w:rPr>
                <w:sz w:val="18"/>
              </w:rPr>
              <w:t>Ops.TeamLead</w:t>
            </w:r>
          </w:p>
        </w:tc>
        <w:tc>
          <w:tcPr>
            <w:tcW w:type="dxa" w:w="2592"/>
          </w:tcPr>
          <w:p>
            <w:r>
              <w:rPr>
                <w:sz w:val="18"/>
              </w:rPr>
              <w:t>SOC Team Lead</w:t>
            </w:r>
          </w:p>
        </w:tc>
        <w:tc>
          <w:tcPr>
            <w:tcW w:type="dxa" w:w="2592"/>
          </w:tcPr>
          <w:p>
            <w:r>
              <w:rPr>
                <w:sz w:val="18"/>
              </w:rPr>
              <w:t>Team capacity skills roster quality review</w:t>
            </w:r>
          </w:p>
        </w:tc>
        <w:tc>
          <w:tcPr>
            <w:tcW w:type="dxa" w:w="2592"/>
          </w:tcPr>
          <w:p>
            <w:r>
              <w:rPr>
                <w:sz w:val="18"/>
              </w:rPr>
              <w:t>Scope limited to assigned teams</w:t>
            </w:r>
          </w:p>
        </w:tc>
      </w:tr>
      <w:tr>
        <w:trPr>
          <w:cantSplit/>
        </w:trPr>
        <w:tc>
          <w:tcPr>
            <w:tcW w:type="dxa" w:w="2592"/>
          </w:tcPr>
          <w:p>
            <w:r>
              <w:rPr>
                <w:sz w:val="18"/>
              </w:rPr>
              <w:t>Ops.Manager</w:t>
            </w:r>
          </w:p>
        </w:tc>
        <w:tc>
          <w:tcPr>
            <w:tcW w:type="dxa" w:w="2592"/>
          </w:tcPr>
          <w:p>
            <w:r>
              <w:rPr>
                <w:sz w:val="18"/>
              </w:rPr>
              <w:t>SOC Manager</w:t>
            </w:r>
          </w:p>
        </w:tc>
        <w:tc>
          <w:tcPr>
            <w:tcW w:type="dxa" w:w="2592"/>
          </w:tcPr>
          <w:p>
            <w:r>
              <w:rPr>
                <w:sz w:val="18"/>
              </w:rPr>
              <w:t>Service metrics staffing SLA policy proposals</w:t>
            </w:r>
          </w:p>
        </w:tc>
        <w:tc>
          <w:tcPr>
            <w:tcW w:type="dxa" w:w="2592"/>
          </w:tcPr>
          <w:p>
            <w:r>
              <w:rPr>
                <w:sz w:val="18"/>
              </w:rPr>
              <w:t>No implicit restricted evidence access</w:t>
            </w:r>
          </w:p>
        </w:tc>
      </w:tr>
      <w:tr>
        <w:trPr>
          <w:cantSplit/>
        </w:trPr>
        <w:tc>
          <w:tcPr>
            <w:tcW w:type="dxa" w:w="2592"/>
          </w:tcPr>
          <w:p>
            <w:r>
              <w:rPr>
                <w:sz w:val="18"/>
              </w:rPr>
              <w:t>Ops.ServiceOwner</w:t>
            </w:r>
          </w:p>
        </w:tc>
        <w:tc>
          <w:tcPr>
            <w:tcW w:type="dxa" w:w="2592"/>
          </w:tcPr>
          <w:p>
            <w:r>
              <w:rPr>
                <w:sz w:val="18"/>
              </w:rPr>
              <w:t>SOC Service Owner</w:t>
            </w:r>
          </w:p>
        </w:tc>
        <w:tc>
          <w:tcPr>
            <w:tcW w:type="dxa" w:w="2592"/>
          </w:tcPr>
          <w:p>
            <w:r>
              <w:rPr>
                <w:sz w:val="18"/>
              </w:rPr>
              <w:t>Approve tenant service policy changes and readiness</w:t>
            </w:r>
          </w:p>
        </w:tc>
        <w:tc>
          <w:tcPr>
            <w:tcW w:type="dxa" w:w="2592"/>
          </w:tcPr>
          <w:p>
            <w:r>
              <w:rPr>
                <w:sz w:val="18"/>
              </w:rPr>
              <w:t>Separate UAM and action approval</w:t>
            </w:r>
          </w:p>
        </w:tc>
      </w:tr>
      <w:tr>
        <w:trPr>
          <w:cantSplit/>
        </w:trPr>
        <w:tc>
          <w:tcPr>
            <w:tcW w:type="dxa" w:w="2592"/>
          </w:tcPr>
          <w:p>
            <w:r>
              <w:rPr>
                <w:sz w:val="18"/>
              </w:rPr>
              <w:t>Gov.AIGovernor</w:t>
            </w:r>
          </w:p>
        </w:tc>
        <w:tc>
          <w:tcPr>
            <w:tcW w:type="dxa" w:w="2592"/>
          </w:tcPr>
          <w:p>
            <w:r>
              <w:rPr>
                <w:sz w:val="18"/>
              </w:rPr>
              <w:t>AI Governance Officer</w:t>
            </w:r>
          </w:p>
        </w:tc>
        <w:tc>
          <w:tcPr>
            <w:tcW w:type="dxa" w:w="2592"/>
          </w:tcPr>
          <w:p>
            <w:r>
              <w:rPr>
                <w:sz w:val="18"/>
              </w:rPr>
              <w:t>Approve model use evaluations autonomy policy</w:t>
            </w:r>
          </w:p>
        </w:tc>
        <w:tc>
          <w:tcPr>
            <w:tcW w:type="dxa" w:w="2592"/>
          </w:tcPr>
          <w:p>
            <w:r>
              <w:rPr>
                <w:sz w:val="18"/>
              </w:rPr>
              <w:t>No response execution</w:t>
            </w:r>
          </w:p>
        </w:tc>
      </w:tr>
      <w:tr>
        <w:trPr>
          <w:cantSplit/>
        </w:trPr>
        <w:tc>
          <w:tcPr>
            <w:tcW w:type="dxa" w:w="2592"/>
          </w:tcPr>
          <w:p>
            <w:r>
              <w:rPr>
                <w:sz w:val="18"/>
              </w:rPr>
              <w:t>Gov.ModelReviewer</w:t>
            </w:r>
          </w:p>
        </w:tc>
        <w:tc>
          <w:tcPr>
            <w:tcW w:type="dxa" w:w="2592"/>
          </w:tcPr>
          <w:p>
            <w:r>
              <w:rPr>
                <w:sz w:val="18"/>
              </w:rPr>
              <w:t>AI Model Evaluator</w:t>
            </w:r>
          </w:p>
        </w:tc>
        <w:tc>
          <w:tcPr>
            <w:tcW w:type="dxa" w:w="2592"/>
          </w:tcPr>
          <w:p>
            <w:r>
              <w:rPr>
                <w:sz w:val="18"/>
              </w:rPr>
              <w:t>Evaluate prompts models redacted traces and regression sets</w:t>
            </w:r>
          </w:p>
        </w:tc>
        <w:tc>
          <w:tcPr>
            <w:tcW w:type="dxa" w:w="2592"/>
          </w:tcPr>
          <w:p>
            <w:r>
              <w:rPr>
                <w:sz w:val="18"/>
              </w:rPr>
              <w:t>Cannot publish own evaluation as approval</w:t>
            </w:r>
          </w:p>
        </w:tc>
      </w:tr>
      <w:tr>
        <w:trPr>
          <w:cantSplit/>
        </w:trPr>
        <w:tc>
          <w:tcPr>
            <w:tcW w:type="dxa" w:w="2592"/>
          </w:tcPr>
          <w:p>
            <w:r>
              <w:rPr>
                <w:sz w:val="18"/>
              </w:rPr>
              <w:t>Gov.Risk</w:t>
            </w:r>
          </w:p>
        </w:tc>
        <w:tc>
          <w:tcPr>
            <w:tcW w:type="dxa" w:w="2592"/>
          </w:tcPr>
          <w:p>
            <w:r>
              <w:rPr>
                <w:sz w:val="18"/>
              </w:rPr>
              <w:t>Risk and Compliance Officer</w:t>
            </w:r>
          </w:p>
        </w:tc>
        <w:tc>
          <w:tcPr>
            <w:tcW w:type="dxa" w:w="2592"/>
          </w:tcPr>
          <w:p>
            <w:r>
              <w:rPr>
                <w:sz w:val="18"/>
              </w:rPr>
              <w:t>Review risk exceptions NIST evidence and reporting</w:t>
            </w:r>
          </w:p>
        </w:tc>
        <w:tc>
          <w:tcPr>
            <w:tcW w:type="dxa" w:w="2592"/>
          </w:tcPr>
          <w:p>
            <w:r>
              <w:rPr>
                <w:sz w:val="18"/>
              </w:rPr>
              <w:t>Read only operational data by scope</w:t>
            </w:r>
          </w:p>
        </w:tc>
      </w:tr>
      <w:tr>
        <w:trPr>
          <w:cantSplit/>
        </w:trPr>
        <w:tc>
          <w:tcPr>
            <w:tcW w:type="dxa" w:w="2592"/>
          </w:tcPr>
          <w:p>
            <w:r>
              <w:rPr>
                <w:sz w:val="18"/>
              </w:rPr>
              <w:t>Gov.Auditor</w:t>
            </w:r>
          </w:p>
        </w:tc>
        <w:tc>
          <w:tcPr>
            <w:tcW w:type="dxa" w:w="2592"/>
          </w:tcPr>
          <w:p>
            <w:r>
              <w:rPr>
                <w:sz w:val="18"/>
              </w:rPr>
              <w:t>Independent Auditor</w:t>
            </w:r>
          </w:p>
        </w:tc>
        <w:tc>
          <w:tcPr>
            <w:tcW w:type="dxa" w:w="2592"/>
          </w:tcPr>
          <w:p>
            <w:r>
              <w:rPr>
                <w:sz w:val="18"/>
              </w:rPr>
              <w:t>Read audit and approved evidence reports</w:t>
            </w:r>
          </w:p>
        </w:tc>
        <w:tc>
          <w:tcPr>
            <w:tcW w:type="dxa" w:w="2592"/>
          </w:tcPr>
          <w:p>
            <w:r>
              <w:rPr>
                <w:sz w:val="18"/>
              </w:rPr>
              <w:t>No mutations</w:t>
            </w:r>
          </w:p>
        </w:tc>
      </w:tr>
      <w:tr>
        <w:trPr>
          <w:cantSplit/>
        </w:trPr>
        <w:tc>
          <w:tcPr>
            <w:tcW w:type="dxa" w:w="2592"/>
          </w:tcPr>
          <w:p>
            <w:r>
              <w:rPr>
                <w:sz w:val="18"/>
              </w:rPr>
              <w:t>Platform.Admin</w:t>
            </w:r>
          </w:p>
        </w:tc>
        <w:tc>
          <w:tcPr>
            <w:tcW w:type="dxa" w:w="2592"/>
          </w:tcPr>
          <w:p>
            <w:r>
              <w:rPr>
                <w:sz w:val="18"/>
              </w:rPr>
              <w:t>Platform Administrator</w:t>
            </w:r>
          </w:p>
        </w:tc>
        <w:tc>
          <w:tcPr>
            <w:tcW w:type="dxa" w:w="2592"/>
          </w:tcPr>
          <w:p>
            <w:r>
              <w:rPr>
                <w:sz w:val="18"/>
              </w:rPr>
              <w:t>Deploy operate platform configuration</w:t>
            </w:r>
          </w:p>
        </w:tc>
        <w:tc>
          <w:tcPr>
            <w:tcW w:type="dxa" w:w="2592"/>
          </w:tcPr>
          <w:p>
            <w:r>
              <w:rPr>
                <w:sz w:val="18"/>
              </w:rPr>
              <w:t>No default customer incident content</w:t>
            </w:r>
          </w:p>
        </w:tc>
      </w:tr>
      <w:tr>
        <w:trPr>
          <w:cantSplit/>
        </w:trPr>
        <w:tc>
          <w:tcPr>
            <w:tcW w:type="dxa" w:w="2592"/>
          </w:tcPr>
          <w:p>
            <w:r>
              <w:rPr>
                <w:sz w:val="18"/>
              </w:rPr>
              <w:t>Platform.TenantAdmin</w:t>
            </w:r>
          </w:p>
        </w:tc>
        <w:tc>
          <w:tcPr>
            <w:tcW w:type="dxa" w:w="2592"/>
          </w:tcPr>
          <w:p>
            <w:r>
              <w:rPr>
                <w:sz w:val="18"/>
              </w:rPr>
              <w:t>Tenant Configuration Administrator</w:t>
            </w:r>
          </w:p>
        </w:tc>
        <w:tc>
          <w:tcPr>
            <w:tcW w:type="dxa" w:w="2592"/>
          </w:tcPr>
          <w:p>
            <w:r>
              <w:rPr>
                <w:sz w:val="18"/>
              </w:rPr>
              <w:t>Tenant settings connectors routing configuration</w:t>
            </w:r>
          </w:p>
        </w:tc>
        <w:tc>
          <w:tcPr>
            <w:tcW w:type="dxa" w:w="2592"/>
          </w:tcPr>
          <w:p>
            <w:r>
              <w:rPr>
                <w:sz w:val="18"/>
              </w:rPr>
              <w:t>Secret values hidden; privileged consent remains external</w:t>
            </w:r>
          </w:p>
        </w:tc>
      </w:tr>
      <w:tr>
        <w:trPr>
          <w:cantSplit/>
        </w:trPr>
        <w:tc>
          <w:tcPr>
            <w:tcW w:type="dxa" w:w="2592"/>
          </w:tcPr>
          <w:p>
            <w:r>
              <w:rPr>
                <w:sz w:val="18"/>
              </w:rPr>
              <w:t>Platform.ConnectorAdmin</w:t>
            </w:r>
          </w:p>
        </w:tc>
        <w:tc>
          <w:tcPr>
            <w:tcW w:type="dxa" w:w="2592"/>
          </w:tcPr>
          <w:p>
            <w:r>
              <w:rPr>
                <w:sz w:val="18"/>
              </w:rPr>
              <w:t>Connector Administrator</w:t>
            </w:r>
          </w:p>
        </w:tc>
        <w:tc>
          <w:tcPr>
            <w:tcW w:type="dxa" w:w="2592"/>
          </w:tcPr>
          <w:p>
            <w:r>
              <w:rPr>
                <w:sz w:val="18"/>
              </w:rPr>
              <w:t>Configure test rotate connector references</w:t>
            </w:r>
          </w:p>
        </w:tc>
        <w:tc>
          <w:tcPr>
            <w:tcW w:type="dxa" w:w="2592"/>
          </w:tcPr>
          <w:p>
            <w:r>
              <w:rPr>
                <w:sz w:val="18"/>
              </w:rPr>
              <w:t>Cannot grant directory consent through portal</w:t>
            </w:r>
          </w:p>
        </w:tc>
      </w:tr>
      <w:tr>
        <w:trPr>
          <w:cantSplit/>
        </w:trPr>
        <w:tc>
          <w:tcPr>
            <w:tcW w:type="dxa" w:w="2592"/>
          </w:tcPr>
          <w:p>
            <w:r>
              <w:rPr>
                <w:sz w:val="18"/>
              </w:rPr>
              <w:t>Platform.UAMAdmin</w:t>
            </w:r>
          </w:p>
        </w:tc>
        <w:tc>
          <w:tcPr>
            <w:tcW w:type="dxa" w:w="2592"/>
          </w:tcPr>
          <w:p>
            <w:r>
              <w:rPr>
                <w:sz w:val="18"/>
              </w:rPr>
              <w:t>UAM Matrix Administrator</w:t>
            </w:r>
          </w:p>
        </w:tc>
        <w:tc>
          <w:tcPr>
            <w:tcW w:type="dxa" w:w="2592"/>
          </w:tcPr>
          <w:p>
            <w:r>
              <w:rPr>
                <w:sz w:val="18"/>
              </w:rPr>
              <w:t>Draft simulate and manage policy versions</w:t>
            </w:r>
          </w:p>
        </w:tc>
        <w:tc>
          <w:tcPr>
            <w:tcW w:type="dxa" w:w="2592"/>
          </w:tcPr>
          <w:p>
            <w:r>
              <w:rPr>
                <w:sz w:val="18"/>
              </w:rPr>
              <w:t>Independent publication; no self entitlement approval</w:t>
            </w:r>
          </w:p>
        </w:tc>
      </w:tr>
      <w:tr>
        <w:trPr>
          <w:cantSplit/>
        </w:trPr>
        <w:tc>
          <w:tcPr>
            <w:tcW w:type="dxa" w:w="2592"/>
          </w:tcPr>
          <w:p>
            <w:r>
              <w:rPr>
                <w:sz w:val="18"/>
              </w:rPr>
              <w:t>Platform.SRE</w:t>
            </w:r>
          </w:p>
        </w:tc>
        <w:tc>
          <w:tcPr>
            <w:tcW w:type="dxa" w:w="2592"/>
          </w:tcPr>
          <w:p>
            <w:r>
              <w:rPr>
                <w:sz w:val="18"/>
              </w:rPr>
              <w:t>Site Reliability Engineer</w:t>
            </w:r>
          </w:p>
        </w:tc>
        <w:tc>
          <w:tcPr>
            <w:tcW w:type="dxa" w:w="2592"/>
          </w:tcPr>
          <w:p>
            <w:r>
              <w:rPr>
                <w:sz w:val="18"/>
              </w:rPr>
              <w:t>Service health backup recovery and telemetry</w:t>
            </w:r>
          </w:p>
        </w:tc>
        <w:tc>
          <w:tcPr>
            <w:tcW w:type="dxa" w:w="2592"/>
          </w:tcPr>
          <w:p>
            <w:r>
              <w:rPr>
                <w:sz w:val="18"/>
              </w:rPr>
              <w:t>Time bounded audited tenant support access</w:t>
            </w:r>
          </w:p>
        </w:tc>
      </w:tr>
      <w:tr>
        <w:trPr>
          <w:cantSplit/>
        </w:trPr>
        <w:tc>
          <w:tcPr>
            <w:tcW w:type="dxa" w:w="2592"/>
          </w:tcPr>
          <w:p>
            <w:r>
              <w:rPr>
                <w:sz w:val="18"/>
              </w:rPr>
              <w:t>Platform.Support</w:t>
            </w:r>
          </w:p>
        </w:tc>
        <w:tc>
          <w:tcPr>
            <w:tcW w:type="dxa" w:w="2592"/>
          </w:tcPr>
          <w:p>
            <w:r>
              <w:rPr>
                <w:sz w:val="18"/>
              </w:rPr>
              <w:t>Support Engineer</w:t>
            </w:r>
          </w:p>
        </w:tc>
        <w:tc>
          <w:tcPr>
            <w:tcW w:type="dxa" w:w="2592"/>
          </w:tcPr>
          <w:p>
            <w:r>
              <w:rPr>
                <w:sz w:val="18"/>
              </w:rPr>
              <w:t>Read sanitised diagnostics approved support sessions</w:t>
            </w:r>
          </w:p>
        </w:tc>
        <w:tc>
          <w:tcPr>
            <w:tcW w:type="dxa" w:w="2592"/>
          </w:tcPr>
          <w:p>
            <w:r>
              <w:rPr>
                <w:sz w:val="18"/>
              </w:rPr>
              <w:t>No standing customer data access</w:t>
            </w:r>
          </w:p>
        </w:tc>
      </w:tr>
      <w:tr>
        <w:trPr>
          <w:cantSplit/>
        </w:trPr>
        <w:tc>
          <w:tcPr>
            <w:tcW w:type="dxa" w:w="2592"/>
          </w:tcPr>
          <w:p>
            <w:r>
              <w:rPr>
                <w:sz w:val="18"/>
              </w:rPr>
              <w:t>Customer.Admin</w:t>
            </w:r>
          </w:p>
        </w:tc>
        <w:tc>
          <w:tcPr>
            <w:tcW w:type="dxa" w:w="2592"/>
          </w:tcPr>
          <w:p>
            <w:r>
              <w:rPr>
                <w:sz w:val="18"/>
              </w:rPr>
              <w:t>Customer Administrator</w:t>
            </w:r>
          </w:p>
        </w:tc>
        <w:tc>
          <w:tcPr>
            <w:tcW w:type="dxa" w:w="2592"/>
          </w:tcPr>
          <w:p>
            <w:r>
              <w:rPr>
                <w:sz w:val="18"/>
              </w:rPr>
              <w:t>Customer teams scopes settings and entitlement requests</w:t>
            </w:r>
          </w:p>
        </w:tc>
        <w:tc>
          <w:tcPr>
            <w:tcW w:type="dxa" w:w="2592"/>
          </w:tcPr>
          <w:p>
            <w:r>
              <w:rPr>
                <w:sz w:val="18"/>
              </w:rPr>
              <w:t>Cannot bypass central approval controls</w:t>
            </w:r>
          </w:p>
        </w:tc>
      </w:tr>
      <w:tr>
        <w:trPr>
          <w:cantSplit/>
        </w:trPr>
        <w:tc>
          <w:tcPr>
            <w:tcW w:type="dxa" w:w="2592"/>
          </w:tcPr>
          <w:p>
            <w:r>
              <w:rPr>
                <w:sz w:val="18"/>
              </w:rPr>
              <w:t>Customer.Analyst</w:t>
            </w:r>
          </w:p>
        </w:tc>
        <w:tc>
          <w:tcPr>
            <w:tcW w:type="dxa" w:w="2592"/>
          </w:tcPr>
          <w:p>
            <w:r>
              <w:rPr>
                <w:sz w:val="18"/>
              </w:rPr>
              <w:t>Customer Security Analyst</w:t>
            </w:r>
          </w:p>
        </w:tc>
        <w:tc>
          <w:tcPr>
            <w:tcW w:type="dxa" w:w="2592"/>
          </w:tcPr>
          <w:p>
            <w:r>
              <w:rPr>
                <w:sz w:val="18"/>
              </w:rPr>
              <w:t>Investigate and comment on customer visible incidents</w:t>
            </w:r>
          </w:p>
        </w:tc>
        <w:tc>
          <w:tcPr>
            <w:tcW w:type="dxa" w:w="2592"/>
          </w:tcPr>
          <w:p>
            <w:r>
              <w:rPr>
                <w:sz w:val="18"/>
              </w:rPr>
              <w:t>No access to internal only notes</w:t>
            </w:r>
          </w:p>
        </w:tc>
      </w:tr>
      <w:tr>
        <w:trPr>
          <w:cantSplit/>
        </w:trPr>
        <w:tc>
          <w:tcPr>
            <w:tcW w:type="dxa" w:w="2592"/>
          </w:tcPr>
          <w:p>
            <w:r>
              <w:rPr>
                <w:sz w:val="18"/>
              </w:rPr>
              <w:t>Customer.Approver</w:t>
            </w:r>
          </w:p>
        </w:tc>
        <w:tc>
          <w:tcPr>
            <w:tcW w:type="dxa" w:w="2592"/>
          </w:tcPr>
          <w:p>
            <w:r>
              <w:rPr>
                <w:sz w:val="18"/>
              </w:rPr>
              <w:t>Customer Response Approver</w:t>
            </w:r>
          </w:p>
        </w:tc>
        <w:tc>
          <w:tcPr>
            <w:tcW w:type="dxa" w:w="2592"/>
          </w:tcPr>
          <w:p>
            <w:r>
              <w:rPr>
                <w:sz w:val="18"/>
              </w:rPr>
              <w:t>Approve customer impact within specified scope</w:t>
            </w:r>
          </w:p>
        </w:tc>
        <w:tc>
          <w:tcPr>
            <w:tcW w:type="dxa" w:w="2592"/>
          </w:tcPr>
          <w:p>
            <w:r>
              <w:rPr>
                <w:sz w:val="18"/>
              </w:rPr>
              <w:t>Cannot approve own proposal</w:t>
            </w:r>
          </w:p>
        </w:tc>
      </w:tr>
      <w:tr>
        <w:trPr>
          <w:cantSplit/>
        </w:trPr>
        <w:tc>
          <w:tcPr>
            <w:tcW w:type="dxa" w:w="2592"/>
          </w:tcPr>
          <w:p>
            <w:r>
              <w:rPr>
                <w:sz w:val="18"/>
              </w:rPr>
              <w:t>Customer.Reader</w:t>
            </w:r>
          </w:p>
        </w:tc>
        <w:tc>
          <w:tcPr>
            <w:tcW w:type="dxa" w:w="2592"/>
          </w:tcPr>
          <w:p>
            <w:r>
              <w:rPr>
                <w:sz w:val="18"/>
              </w:rPr>
              <w:t>Customer Read Only User</w:t>
            </w:r>
          </w:p>
        </w:tc>
        <w:tc>
          <w:tcPr>
            <w:tcW w:type="dxa" w:w="2592"/>
          </w:tcPr>
          <w:p>
            <w:r>
              <w:rPr>
                <w:sz w:val="18"/>
              </w:rPr>
              <w:t>Read customer visible incidents and dashboards</w:t>
            </w:r>
          </w:p>
        </w:tc>
        <w:tc>
          <w:tcPr>
            <w:tcW w:type="dxa" w:w="2592"/>
          </w:tcPr>
          <w:p>
            <w:r>
              <w:rPr>
                <w:sz w:val="18"/>
              </w:rPr>
              <w:t>No evidence export by default</w:t>
            </w:r>
          </w:p>
        </w:tc>
      </w:tr>
      <w:tr>
        <w:trPr>
          <w:cantSplit/>
        </w:trPr>
        <w:tc>
          <w:tcPr>
            <w:tcW w:type="dxa" w:w="2592"/>
          </w:tcPr>
          <w:p>
            <w:r>
              <w:rPr>
                <w:sz w:val="18"/>
              </w:rPr>
              <w:t>Customer.Executive</w:t>
            </w:r>
          </w:p>
        </w:tc>
        <w:tc>
          <w:tcPr>
            <w:tcW w:type="dxa" w:w="2592"/>
          </w:tcPr>
          <w:p>
            <w:r>
              <w:rPr>
                <w:sz w:val="18"/>
              </w:rPr>
              <w:t>Customer Executive Viewer</w:t>
            </w:r>
          </w:p>
        </w:tc>
        <w:tc>
          <w:tcPr>
            <w:tcW w:type="dxa" w:w="2592"/>
          </w:tcPr>
          <w:p>
            <w:r>
              <w:rPr>
                <w:sz w:val="18"/>
              </w:rPr>
              <w:t>Aggregated service and risk summaries</w:t>
            </w:r>
          </w:p>
        </w:tc>
        <w:tc>
          <w:tcPr>
            <w:tcW w:type="dxa" w:w="2592"/>
          </w:tcPr>
          <w:p>
            <w:r>
              <w:rPr>
                <w:sz w:val="18"/>
              </w:rPr>
              <w:t>No raw sensitive incident data</w:t>
            </w:r>
          </w:p>
        </w:tc>
      </w:tr>
      <w:tr>
        <w:trPr>
          <w:cantSplit/>
        </w:trPr>
        <w:tc>
          <w:tcPr>
            <w:tcW w:type="dxa" w:w="2592"/>
          </w:tcPr>
          <w:p>
            <w:r>
              <w:rPr>
                <w:sz w:val="18"/>
              </w:rPr>
              <w:t>Customer.Requester</w:t>
            </w:r>
          </w:p>
        </w:tc>
        <w:tc>
          <w:tcPr>
            <w:tcW w:type="dxa" w:w="2592"/>
          </w:tcPr>
          <w:p>
            <w:r>
              <w:t>Scoped Requester</w:t>
            </w:r>
          </w:p>
        </w:tc>
        <w:tc>
          <w:tcPr>
            <w:tcW w:type="dxa" w:w="2592"/>
          </w:tcPr>
          <w:p>
            <w:r>
              <w:t>Submit technical incidents, service requests and suspected security reports through M23; read own/delegated permitted submissions.</w:t>
            </w:r>
          </w:p>
        </w:tc>
        <w:tc>
          <w:tcPr>
            <w:tcW w:type="dxa" w:w="2592"/>
          </w:tcPr>
          <w:p>
            <w:r>
              <w:t>No whole-tenant or direct M04 management; authorised SOC triage creates/links security incidents. Explicit operator requester contributions are permitted.</w:t>
            </w:r>
          </w:p>
        </w:tc>
      </w:tr>
      <w:tr>
        <w:trPr>
          <w:cantSplit/>
        </w:trPr>
        <w:tc>
          <w:tcPr>
            <w:tcW w:type="dxa" w:w="2592"/>
          </w:tcPr>
          <w:p>
            <w:r>
              <w:rPr>
                <w:sz w:val="18"/>
              </w:rPr>
              <w:t>Emergency.Operator</w:t>
            </w:r>
          </w:p>
        </w:tc>
        <w:tc>
          <w:tcPr>
            <w:tcW w:type="dxa" w:w="2592"/>
          </w:tcPr>
          <w:p>
            <w:r>
              <w:rPr>
                <w:sz w:val="18"/>
              </w:rPr>
              <w:t>Emergency Access Operator</w:t>
            </w:r>
          </w:p>
        </w:tc>
        <w:tc>
          <w:tcPr>
            <w:tcW w:type="dxa" w:w="2592"/>
          </w:tcPr>
          <w:p>
            <w:r>
              <w:rPr>
                <w:sz w:val="18"/>
              </w:rPr>
              <w:t>Time limited explicitly approved recovery functions</w:t>
            </w:r>
          </w:p>
        </w:tc>
        <w:tc>
          <w:tcPr>
            <w:tcW w:type="dxa" w:w="2592"/>
          </w:tcPr>
          <w:p>
            <w:r>
              <w:rPr>
                <w:sz w:val="18"/>
              </w:rPr>
              <w:t>No universal bypass; independent audit and review</w:t>
            </w:r>
          </w:p>
        </w:tc>
      </w:tr>
      <w:tr>
        <w:trPr>
          <w:cantSplit/>
        </w:trPr>
        <w:tc>
          <w:tcPr>
            <w:tcW w:type="dxa" w:w="2592"/>
          </w:tcPr>
          <w:p>
            <w:r>
              <w:t>SOC.Reader</w:t>
            </w:r>
          </w:p>
        </w:tc>
        <w:tc>
          <w:tcPr>
            <w:tcW w:type="dxa" w:w="2592"/>
          </w:tcPr>
          <w:p>
            <w:r>
              <w:t>SOC Read Only Analyst</w:t>
            </w:r>
          </w:p>
        </w:tc>
        <w:tc>
          <w:tcPr>
            <w:tcW w:type="dxa" w:w="2592"/>
          </w:tcPr>
          <w:p>
            <w:r>
              <w:t>Scoped operational reads</w:t>
            </w:r>
          </w:p>
        </w:tc>
        <w:tc>
          <w:tcPr>
            <w:tcW w:type="dxa" w:w="2592"/>
          </w:tcPr>
          <w:p>
            <w:r>
              <w:t>No mutation or implied export</w:t>
            </w:r>
          </w:p>
        </w:tc>
      </w:tr>
      <w:tr>
        <w:trPr>
          <w:cantSplit/>
        </w:trPr>
        <w:tc>
          <w:tcPr>
            <w:tcW w:type="dxa" w:w="2592"/>
          </w:tcPr>
          <w:p>
            <w:r>
              <w:t>Platform.SuperAdmin</w:t>
            </w:r>
          </w:p>
        </w:tc>
        <w:tc>
          <w:tcPr>
            <w:tcW w:type="dxa" w:w="2592"/>
          </w:tcPr>
          <w:p>
            <w:r>
              <w:t>Super Admin</w:t>
            </w:r>
          </w:p>
        </w:tc>
        <w:tc>
          <w:tcPr>
            <w:tcW w:type="dxa" w:w="2592"/>
          </w:tcPr>
          <w:p>
            <w:r>
              <w:t>Registry matrix users connectors modules</w:t>
            </w:r>
          </w:p>
        </w:tc>
        <w:tc>
          <w:tcPr>
            <w:tcW w:type="dxa" w:w="2592"/>
          </w:tcPr>
          <w:p>
            <w:r>
              <w:t>No tenant content bypass; no self approval</w:t>
            </w:r>
          </w:p>
        </w:tc>
      </w:tr>
      <w:tr>
        <w:trPr>
          <w:cantSplit/>
        </w:trPr>
        <w:tc>
          <w:tcPr>
            <w:tcW w:type="dxa" w:w="2592"/>
          </w:tcPr>
          <w:p>
            <w:r>
              <w:t>AISOC.TenantMember</w:t>
            </w:r>
          </w:p>
        </w:tc>
        <w:tc>
          <w:tcPr>
            <w:tcW w:type="dxa" w:w="2592"/>
          </w:tcPr>
          <w:p>
            <w:r>
              <w:t>Tenant Membership Marker</w:t>
            </w:r>
          </w:p>
        </w:tc>
        <w:tc>
          <w:tcPr>
            <w:tcW w:type="dxa" w:w="2592"/>
          </w:tcPr>
          <w:p>
            <w:r>
              <w:t>Eligibility to resolve assigned tenant membership</w:t>
            </w:r>
          </w:p>
        </w:tc>
        <w:tc>
          <w:tcPr>
            <w:tcW w:type="dxa" w:w="2592"/>
          </w:tcPr>
          <w:p>
            <w:r>
              <w:t>No feature permission by itself</w:t>
            </w:r>
          </w:p>
        </w:tc>
      </w:tr>
      <w:tr>
        <w:trPr>
          <w:cantSplit/>
        </w:trPr>
        <w:tc>
          <w:tcPr>
            <w:tcW w:type="dxa" w:w="2592"/>
          </w:tcPr>
          <w:p>
            <w:r>
              <w:t>Assets.Manager</w:t>
            </w:r>
          </w:p>
        </w:tc>
        <w:tc>
          <w:tcPr>
            <w:tcW w:type="dxa" w:w="2592"/>
          </w:tcPr>
          <w:p>
            <w:r>
              <w:t>Asset Manager</w:t>
            </w:r>
          </w:p>
        </w:tc>
        <w:tc>
          <w:tcPr>
            <w:tcW w:type="dxa" w:w="2592"/>
          </w:tcPr>
          <w:p>
            <w:r>
              <w:t>Review ownership identity merge and lifecycle</w:t>
            </w:r>
          </w:p>
        </w:tc>
        <w:tc>
          <w:tcPr>
            <w:tcW w:type="dxa" w:w="2592"/>
          </w:tcPr>
          <w:p>
            <w:r>
              <w:t>No response authority</w:t>
            </w:r>
          </w:p>
        </w:tc>
      </w:tr>
      <w:tr>
        <w:trPr>
          <w:cantSplit/>
        </w:trPr>
        <w:tc>
          <w:tcPr>
            <w:tcW w:type="dxa" w:w="2592"/>
          </w:tcPr>
          <w:p>
            <w:r>
              <w:t>Change.Requester</w:t>
            </w:r>
          </w:p>
        </w:tc>
        <w:tc>
          <w:tcPr>
            <w:tcW w:type="dxa" w:w="2592"/>
          </w:tcPr>
          <w:p>
            <w:r>
              <w:t>Change Requester</w:t>
            </w:r>
          </w:p>
        </w:tc>
        <w:tc>
          <w:tcPr>
            <w:tcW w:type="dxa" w:w="2592"/>
          </w:tcPr>
          <w:p>
            <w:r>
              <w:t>Submit scoped change proposals</w:t>
            </w:r>
          </w:p>
        </w:tc>
        <w:tc>
          <w:tcPr>
            <w:tcW w:type="dxa" w:w="2592"/>
          </w:tcPr>
          <w:p>
            <w:r>
              <w:t>Cannot approve own plan</w:t>
            </w:r>
          </w:p>
        </w:tc>
      </w:tr>
      <w:tr>
        <w:trPr>
          <w:cantSplit/>
        </w:trPr>
        <w:tc>
          <w:tcPr>
            <w:tcW w:type="dxa" w:w="2592"/>
          </w:tcPr>
          <w:p>
            <w:r>
              <w:t>Change.Manager</w:t>
            </w:r>
          </w:p>
        </w:tc>
        <w:tc>
          <w:tcPr>
            <w:tcW w:type="dxa" w:w="2592"/>
          </w:tcPr>
          <w:p>
            <w:r>
              <w:t>Change Manager</w:t>
            </w:r>
          </w:p>
        </w:tc>
        <w:tc>
          <w:tcPr>
            <w:tcW w:type="dxa" w:w="2592"/>
          </w:tcPr>
          <w:p>
            <w:r>
              <w:t>Assess schedule and review changes</w:t>
            </w:r>
          </w:p>
        </w:tc>
        <w:tc>
          <w:tcPr>
            <w:tcW w:type="dxa" w:w="2592"/>
          </w:tcPr>
          <w:p>
            <w:r>
              <w:t>Execution requires separate grant</w:t>
            </w:r>
          </w:p>
        </w:tc>
      </w:tr>
      <w:tr>
        <w:trPr>
          <w:cantSplit/>
        </w:trPr>
        <w:tc>
          <w:tcPr>
            <w:tcW w:type="dxa" w:w="2592"/>
          </w:tcPr>
          <w:p>
            <w:r>
              <w:t>Change.Approver</w:t>
            </w:r>
          </w:p>
        </w:tc>
        <w:tc>
          <w:tcPr>
            <w:tcW w:type="dxa" w:w="2592"/>
          </w:tcPr>
          <w:p>
            <w:r>
              <w:t>Change Approver</w:t>
            </w:r>
          </w:p>
        </w:tc>
        <w:tc>
          <w:tcPr>
            <w:tcW w:type="dxa" w:w="2592"/>
          </w:tcPr>
          <w:p>
            <w:r>
              <w:t>Independent scoped approval</w:t>
            </w:r>
          </w:p>
        </w:tc>
        <w:tc>
          <w:tcPr>
            <w:tcW w:type="dxa" w:w="2592"/>
          </w:tcPr>
          <w:p>
            <w:r>
              <w:t>Cannot approve own material authorship</w:t>
            </w:r>
          </w:p>
        </w:tc>
      </w:tr>
      <w:tr>
        <w:trPr>
          <w:cantSplit/>
        </w:trPr>
        <w:tc>
          <w:tcPr>
            <w:tcW w:type="dxa" w:w="2592"/>
          </w:tcPr>
          <w:p>
            <w:r>
              <w:t>Problem.Analyst</w:t>
            </w:r>
          </w:p>
        </w:tc>
        <w:tc>
          <w:tcPr>
            <w:tcW w:type="dxa" w:w="2592"/>
          </w:tcPr>
          <w:p>
            <w:r>
              <w:t>Problem Analyst</w:t>
            </w:r>
          </w:p>
        </w:tc>
        <w:tc>
          <w:tcPr>
            <w:tcW w:type="dxa" w:w="2592"/>
          </w:tcPr>
          <w:p>
            <w:r>
              <w:t>Root cause and workaround investigation</w:t>
            </w:r>
          </w:p>
        </w:tc>
        <w:tc>
          <w:tcPr>
            <w:tcW w:type="dxa" w:w="2592"/>
          </w:tcPr>
          <w:p>
            <w:r>
              <w:t>Publication separately granted</w:t>
            </w:r>
          </w:p>
        </w:tc>
      </w:tr>
      <w:tr>
        <w:trPr>
          <w:cantSplit/>
        </w:trPr>
        <w:tc>
          <w:tcPr>
            <w:tcW w:type="dxa" w:w="2592"/>
          </w:tcPr>
          <w:p>
            <w:r>
              <w:t>Problem.Manager</w:t>
            </w:r>
          </w:p>
        </w:tc>
        <w:tc>
          <w:tcPr>
            <w:tcW w:type="dxa" w:w="2592"/>
          </w:tcPr>
          <w:p>
            <w:r>
              <w:t>Problem Manager</w:t>
            </w:r>
          </w:p>
        </w:tc>
        <w:tc>
          <w:tcPr>
            <w:tcW w:type="dxa" w:w="2592"/>
          </w:tcPr>
          <w:p>
            <w:r>
              <w:t>Known errors corrective actions and review</w:t>
            </w:r>
          </w:p>
        </w:tc>
        <w:tc>
          <w:tcPr>
            <w:tcW w:type="dxa" w:w="2592"/>
          </w:tcPr>
          <w:p>
            <w:r>
              <w:t>No change or response bypass</w:t>
            </w:r>
          </w:p>
        </w:tc>
      </w:tr>
      <w:tr>
        <w:trPr>
          <w:cantSplit/>
        </w:trPr>
        <w:tc>
          <w:tcPr>
            <w:tcW w:type="dxa" w:w="2592"/>
          </w:tcPr>
          <w:p>
            <w:r>
              <w:t>FinOps.Analyst</w:t>
            </w:r>
          </w:p>
        </w:tc>
        <w:tc>
          <w:tcPr>
            <w:tcW w:type="dxa" w:w="2592"/>
          </w:tcPr>
          <w:p>
            <w:r>
              <w:t>FinOps Analyst</w:t>
            </w:r>
          </w:p>
        </w:tc>
        <w:tc>
          <w:tcPr>
            <w:tcW w:type="dxa" w:w="2592"/>
          </w:tcPr>
          <w:p>
            <w:r>
              <w:t>Scoped cost and savings analysis</w:t>
            </w:r>
          </w:p>
        </w:tc>
        <w:tc>
          <w:tcPr>
            <w:tcW w:type="dxa" w:w="2592"/>
          </w:tcPr>
          <w:p>
            <w:r>
              <w:t>No commitment purchase authority</w:t>
            </w:r>
          </w:p>
        </w:tc>
      </w:tr>
      <w:tr>
        <w:trPr>
          <w:cantSplit/>
        </w:trPr>
        <w:tc>
          <w:tcPr>
            <w:tcW w:type="dxa" w:w="2592"/>
          </w:tcPr>
          <w:p>
            <w:r>
              <w:t>Licence.Administrator</w:t>
            </w:r>
          </w:p>
        </w:tc>
        <w:tc>
          <w:tcPr>
            <w:tcW w:type="dxa" w:w="2592"/>
          </w:tcPr>
          <w:p>
            <w:r>
              <w:t>Licence Administrator</w:t>
            </w:r>
          </w:p>
        </w:tc>
        <w:tc>
          <w:tcPr>
            <w:tcW w:type="dxa" w:w="2592"/>
          </w:tcPr>
          <w:p>
            <w:r>
              <w:t>Inventory review and licence action proposals</w:t>
            </w:r>
          </w:p>
        </w:tc>
        <w:tc>
          <w:tcPr>
            <w:tcW w:type="dxa" w:w="2592"/>
          </w:tcPr>
          <w:p>
            <w:r>
              <w:t>No automatic directory write</w:t>
            </w:r>
          </w:p>
        </w:tc>
      </w:tr>
      <w:tr>
        <w:trPr>
          <w:cantSplit/>
        </w:trPr>
        <w:tc>
          <w:tcPr>
            <w:tcW w:type="dxa" w:w="2592"/>
          </w:tcPr>
          <w:p>
            <w:r>
              <w:t>Gov.IdentityReviewer</w:t>
            </w:r>
          </w:p>
        </w:tc>
        <w:tc>
          <w:tcPr>
            <w:tcW w:type="dxa" w:w="2592"/>
          </w:tcPr>
          <w:p>
            <w:r>
              <w:t>Identity Governance Reviewer</w:t>
            </w:r>
          </w:p>
        </w:tc>
        <w:tc>
          <w:tcPr>
            <w:tcW w:type="dxa" w:w="2592"/>
          </w:tcPr>
          <w:p>
            <w:r>
              <w:t>Review permitted activity and access findings</w:t>
            </w:r>
          </w:p>
        </w:tc>
        <w:tc>
          <w:tcPr>
            <w:tcW w:type="dxa" w:w="2592"/>
          </w:tcPr>
          <w:p>
            <w:r>
              <w:t>No standing account mutation</w:t>
            </w:r>
          </w:p>
        </w:tc>
      </w:tr>
      <w:tr>
        <w:trPr>
          <w:cantSplit/>
        </w:trPr>
        <w:tc>
          <w:tcPr>
            <w:tcW w:type="dxa" w:w="2592"/>
          </w:tcPr>
          <w:p>
            <w:r>
              <w:t>Gov.DevOpsReviewer</w:t>
            </w:r>
          </w:p>
        </w:tc>
        <w:tc>
          <w:tcPr>
            <w:tcW w:type="dxa" w:w="2592"/>
          </w:tcPr>
          <w:p>
            <w:r>
              <w:t>DevOps Governance Reviewer</w:t>
            </w:r>
          </w:p>
        </w:tc>
        <w:tc>
          <w:tcPr>
            <w:tcW w:type="dxa" w:w="2592"/>
          </w:tcPr>
          <w:p>
            <w:r>
              <w:t>Review organisation entitlements and delivery</w:t>
            </w:r>
          </w:p>
        </w:tc>
        <w:tc>
          <w:tcPr>
            <w:tcW w:type="dxa" w:w="2592"/>
          </w:tcPr>
          <w:p>
            <w:r>
              <w:t>No project admin rights</w:t>
            </w:r>
          </w:p>
        </w:tc>
      </w:tr>
      <w:tr>
        <w:trPr>
          <w:cantSplit/>
        </w:trPr>
        <w:tc>
          <w:tcPr>
            <w:tcW w:type="dxa" w:w="2592"/>
          </w:tcPr>
          <w:p>
            <w:r>
              <w:t>Executive.FinanceViewer</w:t>
            </w:r>
          </w:p>
        </w:tc>
        <w:tc>
          <w:tcPr>
            <w:tcW w:type="dxa" w:w="2592"/>
          </w:tcPr>
          <w:p>
            <w:r>
              <w:t>Executive Finance Viewer</w:t>
            </w:r>
          </w:p>
        </w:tc>
        <w:tc>
          <w:tcPr>
            <w:tcW w:type="dxa" w:w="2592"/>
          </w:tcPr>
          <w:p>
            <w:r>
              <w:t>Approved financial and risk aggregates</w:t>
            </w:r>
          </w:p>
        </w:tc>
        <w:tc>
          <w:tcPr>
            <w:tcW w:type="dxa" w:w="2592"/>
          </w:tcPr>
          <w:p>
            <w:r>
              <w:t>No named activity detail by default</w:t>
            </w:r>
          </w:p>
        </w:tc>
      </w:tr>
    </w:tbl>
    <w:tbl>
      <w:tblPr>
        <w:tblStyle w:val="Legacy0_LightShading-Accent1"/>
        <w:tblW w:type="auto" w:w="0"/>
        <w:tblLook w:firstColumn="1" w:firstRow="1" w:lastColumn="0" w:lastRow="0" w:noHBand="0" w:noVBand="1" w:val="04A0"/>
      </w:tblPr>
      <w:tblGrid>
        <w:gridCol w:w="5184"/>
        <w:gridCol w:w="5184"/>
      </w:tblGrid>
      <w:tr>
        <w:trPr>
          <w:tblHeader/>
          <w:cantSplit/>
        </w:trPr>
        <w:tc>
          <w:tcPr>
            <w:tcW w:type="dxa" w:w="5184"/>
          </w:tcPr>
          <w:p>
            <w:r>
              <w:rPr>
                <w:sz w:val="18"/>
              </w:rPr>
              <w:t>UI operation</w:t>
            </w:r>
          </w:p>
        </w:tc>
        <w:tc>
          <w:tcPr>
            <w:tcW w:type="dxa" w:w="5184"/>
          </w:tcPr>
          <w:p>
            <w:r>
              <w:rPr>
                <w:sz w:val="18"/>
              </w:rPr>
              <w:t>Behaviour and permission</w:t>
            </w:r>
          </w:p>
        </w:tc>
      </w:tr>
      <w:tr>
        <w:trPr>
          <w:cantSplit/>
        </w:trPr>
        <w:tc>
          <w:tcPr>
            <w:tcW w:type="dxa" w:w="5184"/>
          </w:tcPr>
          <w:p>
            <w:r>
              <w:rPr>
                <w:sz w:val="18"/>
              </w:rPr>
              <w:t>Standalone File Store</w:t>
            </w:r>
          </w:p>
        </w:tc>
        <w:tc>
          <w:tcPr>
            <w:tcW w:type="dxa" w:w="5184"/>
          </w:tcPr>
          <w:p>
            <w:r>
              <w:rPr>
                <w:sz w:val="18"/>
              </w:rPr>
              <w:t>RadzenDataGrid server side pagination filters sort folder or collection view upload search and metadata panel; filestore.read</w:t>
            </w:r>
          </w:p>
        </w:tc>
      </w:tr>
      <w:tr>
        <w:trPr>
          <w:cantSplit/>
        </w:trPr>
        <w:tc>
          <w:tcPr>
            <w:tcW w:type="dxa" w:w="5184"/>
          </w:tcPr>
          <w:p>
            <w:r>
              <w:rPr>
                <w:sz w:val="18"/>
              </w:rPr>
              <w:t>Incident Files tab</w:t>
            </w:r>
          </w:p>
        </w:tc>
        <w:tc>
          <w:tcPr>
            <w:tcW w:type="dxa" w:w="5184"/>
          </w:tcPr>
          <w:p>
            <w:r>
              <w:rPr>
                <w:sz w:val="18"/>
              </w:rPr>
              <w:t>List authorised linked files upload or link existing authorised file; incident.read plus file and link permissions</w:t>
            </w:r>
          </w:p>
        </w:tc>
      </w:tr>
      <w:tr>
        <w:trPr>
          <w:cantSplit/>
        </w:trPr>
        <w:tc>
          <w:tcPr>
            <w:tcW w:type="dxa" w:w="5184"/>
          </w:tcPr>
          <w:p>
            <w:r>
              <w:rPr>
                <w:sz w:val="18"/>
              </w:rPr>
              <w:t>Upload</w:t>
            </w:r>
          </w:p>
        </w:tc>
        <w:tc>
          <w:tcPr>
            <w:tcW w:type="dxa" w:w="5184"/>
          </w:tcPr>
          <w:p>
            <w:r>
              <w:rPr>
                <w:sz w:val="18"/>
              </w:rPr>
              <w:t>Drag and drop or picker progress resume where supported metadata sensitivity tags category optional incident; filestore.upload</w:t>
            </w:r>
          </w:p>
        </w:tc>
      </w:tr>
      <w:tr>
        <w:trPr>
          <w:cantSplit/>
        </w:trPr>
        <w:tc>
          <w:tcPr>
            <w:tcW w:type="dxa" w:w="5184"/>
          </w:tcPr>
          <w:p>
            <w:r>
              <w:rPr>
                <w:sz w:val="18"/>
              </w:rPr>
              <w:t>Search</w:t>
            </w:r>
          </w:p>
        </w:tc>
        <w:tc>
          <w:tcPr>
            <w:tcW w:type="dxa" w:w="5184"/>
          </w:tcPr>
          <w:p>
            <w:r>
              <w:rPr>
                <w:sz w:val="18"/>
              </w:rPr>
              <w:t>Filename description tags category incident reference uploader date MIME sensitivity and extracted text when enabled; filestore.search</w:t>
            </w:r>
          </w:p>
        </w:tc>
      </w:tr>
      <w:tr>
        <w:trPr>
          <w:cantSplit/>
        </w:trPr>
        <w:tc>
          <w:tcPr>
            <w:tcW w:type="dxa" w:w="5184"/>
          </w:tcPr>
          <w:p>
            <w:r>
              <w:rPr>
                <w:sz w:val="18"/>
              </w:rPr>
              <w:t>Preview download</w:t>
            </w:r>
          </w:p>
        </w:tc>
        <w:tc>
          <w:tcPr>
            <w:tcW w:type="dxa" w:w="5184"/>
          </w:tcPr>
          <w:p>
            <w:r>
              <w:t>Safe preview or forced download after scan and current ACL check; filestore.read</w:t>
            </w:r>
          </w:p>
        </w:tc>
      </w:tr>
      <w:tr>
        <w:trPr>
          <w:cantSplit/>
        </w:trPr>
        <w:tc>
          <w:tcPr>
            <w:tcW w:type="dxa" w:w="5184"/>
          </w:tcPr>
          <w:p>
            <w:r>
              <w:rPr>
                <w:sz w:val="18"/>
              </w:rPr>
              <w:t>Version history</w:t>
            </w:r>
          </w:p>
        </w:tc>
        <w:tc>
          <w:tcPr>
            <w:tcW w:type="dxa" w:w="5184"/>
          </w:tcPr>
          <w:p>
            <w:r>
              <w:rPr>
                <w:sz w:val="18"/>
              </w:rPr>
              <w:t>List versions hashes uploader timestamps and change reason; filestore.version.read</w:t>
            </w:r>
          </w:p>
        </w:tc>
      </w:tr>
      <w:tr>
        <w:trPr>
          <w:cantSplit/>
        </w:trPr>
        <w:tc>
          <w:tcPr>
            <w:tcW w:type="dxa" w:w="5184"/>
          </w:tcPr>
          <w:p>
            <w:r>
              <w:rPr>
                <w:sz w:val="18"/>
              </w:rPr>
              <w:t>Link and unlink</w:t>
            </w:r>
          </w:p>
        </w:tc>
        <w:tc>
          <w:tcPr>
            <w:tcW w:type="dxa" w:w="5184"/>
          </w:tcPr>
          <w:p>
            <w:r>
              <w:rPr>
                <w:sz w:val="18"/>
              </w:rPr>
              <w:t>Authorised joins to incidents; unlink preserves file binary and other links; filestore.link</w:t>
            </w:r>
          </w:p>
        </w:tc>
      </w:tr>
      <w:tr>
        <w:trPr>
          <w:cantSplit/>
        </w:trPr>
        <w:tc>
          <w:tcPr>
            <w:tcW w:type="dxa" w:w="5184"/>
          </w:tcPr>
          <w:p>
            <w:r>
              <w:rPr>
                <w:sz w:val="18"/>
              </w:rPr>
              <w:t>Retention and hold</w:t>
            </w:r>
          </w:p>
        </w:tc>
        <w:tc>
          <w:tcPr>
            <w:tcW w:type="dxa" w:w="5184"/>
          </w:tcPr>
          <w:p>
            <w:r>
              <w:rPr>
                <w:sz w:val="18"/>
              </w:rPr>
              <w:t>Restricted lifecycle screen with audit legal hold and deletion status; filestore.retention.manage and evidence.hold</w:t>
            </w:r>
          </w:p>
        </w:tc>
      </w:tr>
    </w:tbl>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8856"/>
      </w:tblGrid>
      <w:tr>
        <w:trPr>
          <w:cantSplit/>
          <w:tblHeader/>
        </w:trPr>
        <w:tc>
          <w:tcPr>
            <w:tcW w:type="dxa" w:w="936"/>
            <w:vAlign w:val="center"/>
            <w:shd w:fill="243E53"/>
            <w:tcMar>
              <w:top w:w="70" w:type="dxa"/>
              <w:left w:w="70" w:type="dxa"/>
              <w:bottom w:w="70" w:type="dxa"/>
              <w:right w:w="70" w:type="dxa"/>
            </w:tcMar>
          </w:tcPr>
          <w:p>
            <w:pPr>
              <w:spacing w:after="60" w:before="40"/>
            </w:pPr>
            <w:r>
              <w:rPr>
                <w:b/>
                <w:color w:val="FFFFFF"/>
                <w:sz w:val="18"/>
              </w:rPr>
              <w:t>Owner</w:t>
            </w:r>
          </w:p>
        </w:tc>
        <w:tc>
          <w:tcPr>
            <w:tcW w:type="dxa" w:w="8856"/>
            <w:vAlign w:val="center"/>
            <w:shd w:fill="243E53"/>
            <w:tcMar>
              <w:top w:w="70" w:type="dxa"/>
              <w:left w:w="70" w:type="dxa"/>
              <w:bottom w:w="70" w:type="dxa"/>
              <w:right w:w="70" w:type="dxa"/>
            </w:tcMar>
          </w:tcPr>
          <w:p>
            <w:pPr>
              <w:spacing w:after="60" w:before="40"/>
            </w:pPr>
            <w:r>
              <w:rPr>
                <w:b/>
                <w:color w:val="FFFFFF"/>
                <w:sz w:val="18"/>
              </w:rPr>
              <w:t>Permission identifiers</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M01</w:t>
            </w:r>
          </w:p>
        </w:tc>
        <w:tc>
          <w:tcPr>
            <w:tcW w:type="dxa" w:w="8856"/>
            <w:vAlign w:val="center"/>
            <w:shd w:fill="F0F4F7"/>
            <w:tcMar>
              <w:top w:w="70" w:type="dxa"/>
              <w:left w:w="70" w:type="dxa"/>
              <w:bottom w:w="70" w:type="dxa"/>
              <w:right w:w="70" w:type="dxa"/>
            </w:tcMar>
          </w:tcPr>
          <w:p>
            <w:pPr>
              <w:spacing w:after="60" w:before="40"/>
            </w:pPr>
            <w:r>
              <w:rPr>
                <w:b w:val="0"/>
                <w:color w:val="000000"/>
                <w:sz w:val="18"/>
              </w:rPr>
              <w:t>tenant.read tenant.manage module.manage platform.health.read platform.support.request platform.support.approve</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M02</w:t>
            </w:r>
          </w:p>
        </w:tc>
        <w:tc>
          <w:tcPr>
            <w:tcW w:type="dxa" w:w="8856"/>
            <w:vAlign w:val="center"/>
            <w:shd w:fill="FFFFFF"/>
            <w:tcMar>
              <w:top w:w="70" w:type="dxa"/>
              <w:left w:w="70" w:type="dxa"/>
              <w:bottom w:w="70" w:type="dxa"/>
              <w:right w:w="70" w:type="dxa"/>
            </w:tcMar>
          </w:tcPr>
          <w:p>
            <w:pPr>
              <w:spacing w:after="60" w:before="40"/>
            </w:pPr>
            <w:r>
              <w:rPr>
                <w:b w:val="0"/>
                <w:color w:val="000000"/>
                <w:sz w:val="18"/>
              </w:rPr>
              <w:t>uam.read uam.simulate uam.draft uam.publish uam.approve entitlement.manage</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M03</w:t>
            </w:r>
          </w:p>
        </w:tc>
        <w:tc>
          <w:tcPr>
            <w:tcW w:type="dxa" w:w="8856"/>
            <w:vAlign w:val="center"/>
            <w:shd w:fill="F0F4F7"/>
            <w:tcMar>
              <w:top w:w="70" w:type="dxa"/>
              <w:left w:w="70" w:type="dxa"/>
              <w:bottom w:w="70" w:type="dxa"/>
              <w:right w:w="70" w:type="dxa"/>
            </w:tcMar>
          </w:tcPr>
          <w:p>
            <w:pPr>
              <w:spacing w:after="60" w:before="40"/>
            </w:pPr>
            <w:r>
              <w:rPr>
                <w:b w:val="0"/>
                <w:color w:val="000000"/>
                <w:sz w:val="18"/>
              </w:rPr>
              <w:t>filestore.read filestore.upload filestore.link filestore.hold filestore.export filestore.malware.export</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M04</w:t>
            </w:r>
          </w:p>
        </w:tc>
        <w:tc>
          <w:tcPr>
            <w:tcW w:type="dxa" w:w="8856"/>
            <w:vAlign w:val="center"/>
            <w:shd w:fill="FFFFFF"/>
            <w:tcMar>
              <w:top w:w="70" w:type="dxa"/>
              <w:left w:w="70" w:type="dxa"/>
              <w:bottom w:w="70" w:type="dxa"/>
              <w:right w:w="70" w:type="dxa"/>
            </w:tcMar>
          </w:tcPr>
          <w:p>
            <w:pPr>
              <w:spacing w:after="60" w:before="40"/>
            </w:pPr>
            <w:r>
              <w:rPr>
                <w:b w:val="0"/>
                <w:color w:val="000000"/>
                <w:sz w:val="18"/>
              </w:rPr>
              <w:t>incident.read incident.create incident.update incident.transition comment.internal.write comment.publish</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M05</w:t>
            </w:r>
          </w:p>
        </w:tc>
        <w:tc>
          <w:tcPr>
            <w:tcW w:type="dxa" w:w="8856"/>
            <w:vAlign w:val="center"/>
            <w:shd w:fill="F0F4F7"/>
            <w:tcMar>
              <w:top w:w="70" w:type="dxa"/>
              <w:left w:w="70" w:type="dxa"/>
              <w:bottom w:w="70" w:type="dxa"/>
              <w:right w:w="70" w:type="dxa"/>
            </w:tcMar>
          </w:tcPr>
          <w:p>
            <w:pPr>
              <w:spacing w:after="60" w:before="40"/>
            </w:pPr>
            <w:r>
              <w:rPr>
                <w:b w:val="0"/>
                <w:color w:val="000000"/>
                <w:sz w:val="18"/>
              </w:rPr>
              <w:t>sentinel.read sentinel.configure sentinel.sync.write hunt.run</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M06</w:t>
            </w:r>
          </w:p>
        </w:tc>
        <w:tc>
          <w:tcPr>
            <w:tcW w:type="dxa" w:w="8856"/>
            <w:vAlign w:val="center"/>
            <w:shd w:fill="FFFFFF"/>
            <w:tcMar>
              <w:top w:w="70" w:type="dxa"/>
              <w:left w:w="70" w:type="dxa"/>
              <w:bottom w:w="70" w:type="dxa"/>
              <w:right w:w="70" w:type="dxa"/>
            </w:tcMar>
          </w:tcPr>
          <w:p>
            <w:pPr>
              <w:spacing w:after="60" w:before="40"/>
            </w:pPr>
            <w:r>
              <w:rPr>
                <w:b w:val="0"/>
                <w:color w:val="000000"/>
                <w:sz w:val="18"/>
              </w:rPr>
              <w:t>defender.read defender.configure defender.sync.write hunt.run</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M07</w:t>
            </w:r>
          </w:p>
        </w:tc>
        <w:tc>
          <w:tcPr>
            <w:tcW w:type="dxa" w:w="8856"/>
            <w:vAlign w:val="center"/>
            <w:shd w:fill="F0F4F7"/>
            <w:tcMar>
              <w:top w:w="70" w:type="dxa"/>
              <w:left w:w="70" w:type="dxa"/>
              <w:bottom w:w="70" w:type="dxa"/>
              <w:right w:w="70" w:type="dxa"/>
            </w:tcMar>
          </w:tcPr>
          <w:p>
            <w:pPr>
              <w:spacing w:after="60" w:before="40"/>
            </w:pPr>
            <w:r>
              <w:rPr>
                <w:b w:val="0"/>
                <w:color w:val="000000"/>
                <w:sz w:val="18"/>
              </w:rPr>
              <w:t>asset.read asset.manage asset.merge asset.export</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M08</w:t>
            </w:r>
          </w:p>
        </w:tc>
        <w:tc>
          <w:tcPr>
            <w:tcW w:type="dxa" w:w="8856"/>
            <w:vAlign w:val="center"/>
            <w:shd w:fill="FFFFFF"/>
            <w:tcMar>
              <w:top w:w="70" w:type="dxa"/>
              <w:left w:w="70" w:type="dxa"/>
              <w:bottom w:w="70" w:type="dxa"/>
              <w:right w:w="70" w:type="dxa"/>
            </w:tcMar>
          </w:tcPr>
          <w:p>
            <w:pPr>
              <w:spacing w:after="60" w:before="40"/>
            </w:pPr>
            <w:r>
              <w:rPr>
                <w:b w:val="0"/>
                <w:color w:val="000000"/>
                <w:sz w:val="18"/>
              </w:rPr>
              <w:t>attack.catalogue.read attack.catalogue.import attack.catalogue.approve attack.mapping.write control.manage control.validate</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M09</w:t>
            </w:r>
          </w:p>
        </w:tc>
        <w:tc>
          <w:tcPr>
            <w:tcW w:type="dxa" w:w="8856"/>
            <w:vAlign w:val="center"/>
            <w:shd w:fill="F0F4F7"/>
            <w:tcMar>
              <w:top w:w="70" w:type="dxa"/>
              <w:left w:w="70" w:type="dxa"/>
              <w:bottom w:w="70" w:type="dxa"/>
              <w:right w:w="70" w:type="dxa"/>
            </w:tcMar>
          </w:tcPr>
          <w:p>
            <w:pPr>
              <w:spacing w:after="60" w:before="40"/>
            </w:pPr>
            <w:r>
              <w:rPr>
                <w:b w:val="0"/>
                <w:color w:val="000000"/>
                <w:sz w:val="18"/>
              </w:rPr>
              <w:t>roster.read roster.manage routing.configure routing.assign routing.acknowledge</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M10</w:t>
            </w:r>
          </w:p>
        </w:tc>
        <w:tc>
          <w:tcPr>
            <w:tcW w:type="dxa" w:w="8856"/>
            <w:vAlign w:val="center"/>
            <w:shd w:fill="FFFFFF"/>
            <w:tcMar>
              <w:top w:w="70" w:type="dxa"/>
              <w:left w:w="70" w:type="dxa"/>
              <w:bottom w:w="70" w:type="dxa"/>
              <w:right w:w="70" w:type="dxa"/>
            </w:tcMar>
          </w:tcPr>
          <w:p>
            <w:pPr>
              <w:spacing w:after="60" w:before="40"/>
            </w:pPr>
            <w:r>
              <w:rPr>
                <w:b w:val="0"/>
                <w:color w:val="000000"/>
                <w:sz w:val="18"/>
              </w:rPr>
              <w:t>ai.infer ai.trace.read ai.model.configure ai.web.use ai.evaluate</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M11</w:t>
            </w:r>
          </w:p>
        </w:tc>
        <w:tc>
          <w:tcPr>
            <w:tcW w:type="dxa" w:w="8856"/>
            <w:vAlign w:val="center"/>
            <w:shd w:fill="F0F4F7"/>
            <w:tcMar>
              <w:top w:w="70" w:type="dxa"/>
              <w:left w:w="70" w:type="dxa"/>
              <w:bottom w:w="70" w:type="dxa"/>
              <w:right w:w="70" w:type="dxa"/>
            </w:tcMar>
          </w:tcPr>
          <w:p>
            <w:pPr>
              <w:spacing w:after="60" w:before="40"/>
            </w:pPr>
            <w:r>
              <w:rPr>
                <w:b w:val="0"/>
                <w:color w:val="000000"/>
                <w:sz w:val="18"/>
              </w:rPr>
              <w:t>budget.read budget.manage budget.group.assign budget.reconcile</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M12</w:t>
            </w:r>
          </w:p>
        </w:tc>
        <w:tc>
          <w:tcPr>
            <w:tcW w:type="dxa" w:w="8856"/>
            <w:vAlign w:val="center"/>
            <w:shd w:fill="FFFFFF"/>
            <w:tcMar>
              <w:top w:w="70" w:type="dxa"/>
              <w:left w:w="70" w:type="dxa"/>
              <w:bottom w:w="70" w:type="dxa"/>
              <w:right w:w="70" w:type="dxa"/>
            </w:tcMar>
          </w:tcPr>
          <w:p>
            <w:pPr>
              <w:spacing w:after="60" w:before="40"/>
            </w:pPr>
            <w:r>
              <w:rPr>
                <w:b w:val="0"/>
                <w:color w:val="000000"/>
                <w:sz w:val="18"/>
              </w:rPr>
              <w:t>response.propose response.approve response.execute response.verify response.compensate playbook.publish</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M13</w:t>
            </w:r>
          </w:p>
        </w:tc>
        <w:tc>
          <w:tcPr>
            <w:tcW w:type="dxa" w:w="8856"/>
            <w:vAlign w:val="center"/>
            <w:shd w:fill="F0F4F7"/>
            <w:tcMar>
              <w:top w:w="70" w:type="dxa"/>
              <w:left w:w="70" w:type="dxa"/>
              <w:bottom w:w="70" w:type="dxa"/>
              <w:right w:w="70" w:type="dxa"/>
            </w:tcMar>
          </w:tcPr>
          <w:p>
            <w:pPr>
              <w:spacing w:after="60" w:before="40"/>
            </w:pPr>
            <w:r>
              <w:rPr>
                <w:b w:val="0"/>
                <w:color w:val="000000"/>
                <w:sz w:val="18"/>
              </w:rPr>
              <w:t>change.read change.request change.manage change.approve change.schedule change.review</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M14</w:t>
            </w:r>
          </w:p>
        </w:tc>
        <w:tc>
          <w:tcPr>
            <w:tcW w:type="dxa" w:w="8856"/>
            <w:vAlign w:val="center"/>
            <w:shd w:fill="FFFFFF"/>
            <w:tcMar>
              <w:top w:w="70" w:type="dxa"/>
              <w:left w:w="70" w:type="dxa"/>
              <w:bottom w:w="70" w:type="dxa"/>
              <w:right w:w="70" w:type="dxa"/>
            </w:tcMar>
          </w:tcPr>
          <w:p>
            <w:pPr>
              <w:spacing w:after="60" w:before="40"/>
            </w:pPr>
            <w:r>
              <w:rPr>
                <w:b w:val="0"/>
                <w:color w:val="000000"/>
                <w:sz w:val="18"/>
              </w:rPr>
              <w:t>problem.read problem.manage problem.publish problem.export</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M15</w:t>
            </w:r>
          </w:p>
        </w:tc>
        <w:tc>
          <w:tcPr>
            <w:tcW w:type="dxa" w:w="8856"/>
            <w:vAlign w:val="center"/>
            <w:shd w:fill="F0F4F7"/>
            <w:tcMar>
              <w:top w:w="70" w:type="dxa"/>
              <w:left w:w="70" w:type="dxa"/>
              <w:bottom w:w="70" w:type="dxa"/>
              <w:right w:w="70" w:type="dxa"/>
            </w:tcMar>
          </w:tcPr>
          <w:p>
            <w:pPr>
              <w:spacing w:after="60" w:before="40"/>
            </w:pPr>
            <w:r>
              <w:rPr>
                <w:b w:val="0"/>
                <w:color w:val="000000"/>
                <w:sz w:val="18"/>
              </w:rPr>
              <w:t>dashboard.executive.read dashboard.technical.read report.export dashboard.crossTenant.read</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M16</w:t>
            </w:r>
          </w:p>
        </w:tc>
        <w:tc>
          <w:tcPr>
            <w:tcW w:type="dxa" w:w="8856"/>
            <w:vAlign w:val="center"/>
            <w:shd w:fill="FFFFFF"/>
            <w:tcMar>
              <w:top w:w="70" w:type="dxa"/>
              <w:left w:w="70" w:type="dxa"/>
              <w:bottom w:w="70" w:type="dxa"/>
              <w:right w:w="70" w:type="dxa"/>
            </w:tcMar>
          </w:tcPr>
          <w:p>
            <w:pPr>
              <w:spacing w:after="60" w:before="40"/>
            </w:pPr>
            <w:r>
              <w:rPr>
                <w:b w:val="0"/>
                <w:color w:val="000000"/>
                <w:sz w:val="18"/>
              </w:rPr>
              <w:t>integration.read integration.configure notification.send notification.read notification.acknowledge</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M17</w:t>
            </w:r>
          </w:p>
        </w:tc>
        <w:tc>
          <w:tcPr>
            <w:tcW w:type="dxa" w:w="8856"/>
            <w:vAlign w:val="center"/>
            <w:shd w:fill="F0F4F7"/>
            <w:tcMar>
              <w:top w:w="70" w:type="dxa"/>
              <w:left w:w="70" w:type="dxa"/>
              <w:bottom w:w="70" w:type="dxa"/>
              <w:right w:w="70" w:type="dxa"/>
            </w:tcMar>
          </w:tcPr>
          <w:p>
            <w:pPr>
              <w:spacing w:after="60" w:before="40"/>
            </w:pPr>
            <w:r>
              <w:rPr>
                <w:b w:val="0"/>
                <w:color w:val="000000"/>
                <w:sz w:val="18"/>
              </w:rPr>
              <w:t>cost.read cost.amounts.read cost.contracts.read cost.scenario.manage commitment.read commitment.purchase.request</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M18</w:t>
            </w:r>
          </w:p>
        </w:tc>
        <w:tc>
          <w:tcPr>
            <w:tcW w:type="dxa" w:w="8856"/>
            <w:vAlign w:val="center"/>
            <w:shd w:fill="FFFFFF"/>
            <w:tcMar>
              <w:top w:w="70" w:type="dxa"/>
              <w:left w:w="70" w:type="dxa"/>
              <w:bottom w:w="70" w:type="dxa"/>
              <w:right w:w="70" w:type="dxa"/>
            </w:tcMar>
          </w:tcPr>
          <w:p>
            <w:pPr>
              <w:spacing w:after="60" w:before="40"/>
            </w:pPr>
            <w:r>
              <w:rPr>
                <w:b w:val="0"/>
                <w:color w:val="000000"/>
                <w:sz w:val="18"/>
              </w:rPr>
              <w:t>licence.inventory.read licence.user.read identity.activity.read governance.finding.review</w:t>
            </w:r>
          </w:p>
        </w:tc>
      </w:tr>
      <w:tr>
        <w:trPr>
          <w:cantSplit/>
        </w:trPr>
        <w:tc>
          <w:tcPr>
            <w:tcW w:type="dxa" w:w="936"/>
            <w:vAlign w:val="center"/>
            <w:shd w:fill="F0F4F7"/>
            <w:tcMar>
              <w:top w:w="70" w:type="dxa"/>
              <w:left w:w="70" w:type="dxa"/>
              <w:bottom w:w="70" w:type="dxa"/>
              <w:right w:w="70" w:type="dxa"/>
            </w:tcMar>
          </w:tcPr>
          <w:p>
            <w:pPr>
              <w:spacing w:after="60" w:before="40"/>
            </w:pPr>
            <w:r>
              <w:rPr>
                <w:b w:val="0"/>
                <w:color w:val="000000"/>
                <w:sz w:val="18"/>
              </w:rPr>
              <w:t>M19</w:t>
            </w:r>
          </w:p>
        </w:tc>
        <w:tc>
          <w:tcPr>
            <w:tcW w:type="dxa" w:w="8856"/>
            <w:vAlign w:val="center"/>
            <w:shd w:fill="F0F4F7"/>
            <w:tcMar>
              <w:top w:w="70" w:type="dxa"/>
              <w:left w:w="70" w:type="dxa"/>
              <w:bottom w:w="70" w:type="dxa"/>
              <w:right w:w="70" w:type="dxa"/>
            </w:tcMar>
          </w:tcPr>
          <w:p>
            <w:pPr>
              <w:spacing w:after="60" w:before="40"/>
            </w:pPr>
            <w:r>
              <w:rPr>
                <w:b w:val="0"/>
                <w:color w:val="000000"/>
                <w:sz w:val="18"/>
              </w:rPr>
              <w:t>devops.governance.read devops.configure devops.recommendation.review</w:t>
            </w:r>
          </w:p>
        </w:tc>
      </w:tr>
      <w:tr>
        <w:trPr>
          <w:cantSplit/>
        </w:trPr>
        <w:tc>
          <w:tcPr>
            <w:tcW w:type="dxa" w:w="936"/>
            <w:vAlign w:val="center"/>
            <w:shd w:fill="FFFFFF"/>
            <w:tcMar>
              <w:top w:w="70" w:type="dxa"/>
              <w:left w:w="70" w:type="dxa"/>
              <w:bottom w:w="70" w:type="dxa"/>
              <w:right w:w="70" w:type="dxa"/>
            </w:tcMar>
          </w:tcPr>
          <w:p>
            <w:pPr>
              <w:spacing w:after="60" w:before="40"/>
            </w:pPr>
            <w:r>
              <w:rPr>
                <w:b w:val="0"/>
                <w:color w:val="000000"/>
                <w:sz w:val="18"/>
              </w:rPr>
              <w:t>M20</w:t>
            </w:r>
          </w:p>
        </w:tc>
        <w:tc>
          <w:tcPr>
            <w:tcW w:type="dxa" w:w="8856"/>
            <w:vAlign w:val="center"/>
            <w:shd w:fill="FFFFFF"/>
            <w:tcMar>
              <w:top w:w="70" w:type="dxa"/>
              <w:left w:w="70" w:type="dxa"/>
              <w:bottom w:w="70" w:type="dxa"/>
              <w:right w:w="70" w:type="dxa"/>
            </w:tcMar>
          </w:tcPr>
          <w:p>
            <w:pPr>
              <w:spacing w:after="60" w:before="40"/>
            </w:pPr>
            <w:r>
              <w:rPr>
                <w:b w:val="0"/>
                <w:color w:val="000000"/>
                <w:sz w:val="18"/>
              </w:rPr>
              <w:t>posture.read posture.configure posture.recommendation.review</w:t>
            </w:r>
          </w:p>
        </w:tc>
      </w:tr>
    </w:tbl>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2376"/>
        <w:gridCol w:w="5904"/>
      </w:tblGrid>
      <w:tr>
        <w:trPr>
          <w:cantSplit/>
          <w:tblHeader/>
        </w:trPr>
        <w:tc>
          <w:tcPr>
            <w:tcW w:type="dxa" w:w="1512"/>
            <w:vAlign w:val="center"/>
            <w:shd w:fill="243E53"/>
            <w:tcMar>
              <w:top w:w="70" w:type="dxa"/>
              <w:left w:w="70" w:type="dxa"/>
              <w:bottom w:w="70" w:type="dxa"/>
              <w:right w:w="70" w:type="dxa"/>
            </w:tcMar>
          </w:tcPr>
          <w:p>
            <w:pPr>
              <w:spacing w:after="60" w:before="40"/>
            </w:pPr>
            <w:r>
              <w:rPr>
                <w:b/>
                <w:color w:val="FFFFFF"/>
                <w:sz w:val="18"/>
              </w:rPr>
              <w:t>Finding</w:t>
            </w:r>
          </w:p>
        </w:tc>
        <w:tc>
          <w:tcPr>
            <w:tcW w:type="dxa" w:w="2376"/>
            <w:vAlign w:val="center"/>
            <w:shd w:fill="243E53"/>
            <w:tcMar>
              <w:top w:w="70" w:type="dxa"/>
              <w:left w:w="70" w:type="dxa"/>
              <w:bottom w:w="70" w:type="dxa"/>
              <w:right w:w="70" w:type="dxa"/>
            </w:tcMar>
          </w:tcPr>
          <w:p>
            <w:pPr>
              <w:spacing w:after="60" w:before="40"/>
            </w:pPr>
            <w:r>
              <w:rPr>
                <w:b/>
                <w:color w:val="FFFFFF"/>
                <w:sz w:val="18"/>
              </w:rPr>
              <w:t>Disposition and owner</w:t>
            </w:r>
          </w:p>
        </w:tc>
        <w:tc>
          <w:tcPr>
            <w:tcW w:type="dxa" w:w="5904"/>
            <w:vAlign w:val="center"/>
            <w:shd w:fill="243E53"/>
            <w:tcMar>
              <w:top w:w="70" w:type="dxa"/>
              <w:left w:w="70" w:type="dxa"/>
              <w:bottom w:w="70" w:type="dxa"/>
              <w:right w:w="70" w:type="dxa"/>
            </w:tcMar>
          </w:tcPr>
          <w:p>
            <w:pPr>
              <w:spacing w:after="60" w:before="40"/>
            </w:pPr>
            <w:r>
              <w:rPr>
                <w:b/>
                <w:color w:val="FFFFFF"/>
                <w:sz w:val="18"/>
              </w:rPr>
              <w:t>Correction</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F-01 F-36</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M01 M03</w:t>
            </w:r>
          </w:p>
        </w:tc>
        <w:tc>
          <w:tcPr>
            <w:tcW w:type="dxa" w:w="5904"/>
            <w:vAlign w:val="center"/>
            <w:shd w:fill="F0F4F7"/>
            <w:tcMar>
              <w:top w:w="70" w:type="dxa"/>
              <w:left w:w="70" w:type="dxa"/>
              <w:bottom w:w="70" w:type="dxa"/>
              <w:right w:w="70" w:type="dxa"/>
            </w:tcMar>
          </w:tcPr>
          <w:p>
            <w:pPr>
              <w:spacing w:after="60" w:before="40"/>
            </w:pPr>
            <w:r>
              <w:rPr>
                <w:b w:val="0"/>
                <w:color w:val="000000"/>
                <w:sz w:val="18"/>
              </w:rPr>
              <w:t>UI code stays MIT; unmodified Apache/OFL bundled assets follow SOC-D018; non-UI package policy follows SOC-D044. OCR is not subject to the UI-only licence rule.</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F-02</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M03 M04 M09 M10 M12</w:t>
            </w:r>
          </w:p>
        </w:tc>
        <w:tc>
          <w:tcPr>
            <w:tcW w:type="dxa" w:w="5904"/>
            <w:vAlign w:val="center"/>
            <w:shd w:fill="FFFFFF"/>
            <w:tcMar>
              <w:top w:w="70" w:type="dxa"/>
              <w:left w:w="70" w:type="dxa"/>
              <w:bottom w:w="70" w:type="dxa"/>
              <w:right w:w="70" w:type="dxa"/>
            </w:tcMar>
          </w:tcPr>
          <w:p>
            <w:pPr>
              <w:spacing w:after="60" w:before="40"/>
            </w:pPr>
            <w:r>
              <w:rPr>
                <w:b w:val="0"/>
                <w:color w:val="000000"/>
                <w:sz w:val="18"/>
              </w:rPr>
              <w:t>Data and command ownership is explicit; M03 owns files; retained cross-domain models are an owner-labelled catalogue, not M04 collections.</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F-03</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 with evidence limit</w:t>
              <w:br/>
              <w:t>M05 M06 M07 M13 M14 M15</w:t>
            </w:r>
          </w:p>
        </w:tc>
        <w:tc>
          <w:tcPr>
            <w:tcW w:type="dxa" w:w="5904"/>
            <w:vAlign w:val="center"/>
            <w:shd w:fill="F0F4F7"/>
            <w:tcMar>
              <w:top w:w="70" w:type="dxa"/>
              <w:left w:w="70" w:type="dxa"/>
              <w:bottom w:w="70" w:type="dxa"/>
              <w:right w:w="70" w:type="dxa"/>
            </w:tcMar>
          </w:tcPr>
          <w:p>
            <w:pPr>
              <w:spacing w:after="60" w:before="40"/>
            </w:pPr>
            <w:r>
              <w:rPr>
                <w:b w:val="0"/>
                <w:color w:val="000000"/>
                <w:sz w:val="18"/>
              </w:rPr>
              <w:t>Added component designs; removed numeric reference-design gaps and replaced orphan ADR names with the v5 decision register. Referenced source repository designs remain unverified.</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F-04</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M01</w:t>
            </w:r>
          </w:p>
        </w:tc>
        <w:tc>
          <w:tcPr>
            <w:tcW w:type="dxa" w:w="5904"/>
            <w:vAlign w:val="center"/>
            <w:shd w:fill="FFFFFF"/>
            <w:tcMar>
              <w:top w:w="70" w:type="dxa"/>
              <w:left w:w="70" w:type="dxa"/>
              <w:bottom w:w="70" w:type="dxa"/>
              <w:right w:w="70" w:type="dxa"/>
            </w:tcMar>
          </w:tcPr>
          <w:p>
            <w:pPr>
              <w:spacing w:after="60" w:before="40"/>
            </w:pPr>
            <w:r>
              <w:rPr>
                <w:b w:val="0"/>
                <w:color w:val="000000"/>
                <w:sz w:val="18"/>
              </w:rPr>
              <w:t>One project and versioned host deployments; independent engine acceptance and tenant enablement, no hot-swap promise.</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F-05</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M02</w:t>
            </w:r>
          </w:p>
        </w:tc>
        <w:tc>
          <w:tcPr>
            <w:tcW w:type="dxa" w:w="5904"/>
            <w:vAlign w:val="center"/>
            <w:shd w:fill="F0F4F7"/>
            <w:tcMar>
              <w:top w:w="70" w:type="dxa"/>
              <w:left w:w="70" w:type="dxa"/>
              <w:bottom w:w="70" w:type="dxa"/>
              <w:right w:w="70" w:type="dxa"/>
            </w:tcMar>
          </w:tcPr>
          <w:p>
            <w:pPr>
              <w:spacing w:after="60" w:before="40"/>
            </w:pPr>
            <w:r>
              <w:rPr>
                <w:b w:val="0"/>
                <w:color w:val="000000"/>
                <w:sz w:val="18"/>
              </w:rPr>
              <w:t>Audit AI Permission Manager is the single policy authority. External adapter task and invented REST decision contract removed.</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F-06</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M02 all engines</w:t>
            </w:r>
          </w:p>
        </w:tc>
        <w:tc>
          <w:tcPr>
            <w:tcW w:type="dxa" w:w="5904"/>
            <w:vAlign w:val="center"/>
            <w:shd w:fill="FFFFFF"/>
            <w:tcMar>
              <w:top w:w="70" w:type="dxa"/>
              <w:left w:w="70" w:type="dxa"/>
              <w:bottom w:w="70" w:type="dxa"/>
              <w:right w:w="70" w:type="dxa"/>
            </w:tcMar>
          </w:tcPr>
          <w:p>
            <w:pPr>
              <w:spacing w:after="60" w:before="40"/>
            </w:pPr>
            <w:r>
              <w:rPr>
                <w:b w:val="0"/>
                <w:color w:val="000000"/>
                <w:sz w:val="18"/>
              </w:rPr>
              <w:t>One catalogue contains all SOC service customer governance financial and platform roles; the small matrix is illustrative only. Permission families cover every module.</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F-07 F-34</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M01 M03 M10 M11</w:t>
            </w:r>
          </w:p>
        </w:tc>
        <w:tc>
          <w:tcPr>
            <w:tcW w:type="dxa" w:w="5904"/>
            <w:vAlign w:val="center"/>
            <w:shd w:fill="F0F4F7"/>
            <w:tcMar>
              <w:top w:w="70" w:type="dxa"/>
              <w:left w:w="70" w:type="dxa"/>
              <w:bottom w:w="70" w:type="dxa"/>
              <w:right w:w="70" w:type="dxa"/>
            </w:tcMar>
          </w:tcPr>
          <w:p>
            <w:pPr>
              <w:spacing w:after="60" w:before="40"/>
            </w:pPr>
            <w:r>
              <w:t>Misfiled tests moved to their owner. Added v5 tests for all 23 engines and acceptance-to-release traceability.</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F-08</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All documents</w:t>
            </w:r>
          </w:p>
        </w:tc>
        <w:tc>
          <w:tcPr>
            <w:tcW w:type="dxa" w:w="5904"/>
            <w:vAlign w:val="center"/>
            <w:shd w:fill="FFFFFF"/>
            <w:tcMar>
              <w:top w:w="70" w:type="dxa"/>
              <w:left w:w="70" w:type="dxa"/>
              <w:bottom w:w="70" w:type="dxa"/>
              <w:right w:w="70" w:type="dxa"/>
            </w:tcMar>
          </w:tcPr>
          <w:p>
            <w:pPr>
              <w:spacing w:after="60" w:before="40"/>
            </w:pPr>
            <w:r>
              <w:rPr>
                <w:b w:val="0"/>
                <w:color w:val="000000"/>
                <w:sz w:val="18"/>
              </w:rPr>
              <w:t>All three files are visibly v5.0 and use v5 filenames.</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F-09 F-10</w:t>
            </w:r>
          </w:p>
        </w:tc>
        <w:tc>
          <w:tcPr>
            <w:tcW w:type="dxa" w:w="2376"/>
            <w:vAlign w:val="center"/>
            <w:shd w:fill="F0F4F7"/>
            <w:tcMar>
              <w:top w:w="70" w:type="dxa"/>
              <w:left w:w="70" w:type="dxa"/>
              <w:bottom w:w="70" w:type="dxa"/>
              <w:right w:w="70" w:type="dxa"/>
            </w:tcMar>
          </w:tcPr>
          <w:p>
            <w:pPr>
              <w:spacing w:after="60" w:before="40"/>
            </w:pPr>
            <w:r>
              <w:rPr>
                <w:b w:val="0"/>
                <w:color w:val="000000"/>
                <w:sz w:val="18"/>
              </w:rPr>
              <w:t>Verified and resolved</w:t>
              <w:br/>
              <w:t>M05 M06 M16</w:t>
            </w:r>
          </w:p>
        </w:tc>
        <w:tc>
          <w:tcPr>
            <w:tcW w:type="dxa" w:w="5904"/>
            <w:vAlign w:val="center"/>
            <w:shd w:fill="F0F4F7"/>
            <w:tcMar>
              <w:top w:w="70" w:type="dxa"/>
              <w:left w:w="70" w:type="dxa"/>
              <w:bottom w:w="70" w:type="dxa"/>
              <w:right w:w="70" w:type="dxa"/>
            </w:tcMar>
          </w:tcPr>
          <w:p>
            <w:pPr>
              <w:spacing w:after="60" w:before="40"/>
            </w:pPr>
            <w:r>
              <w:rPr>
                <w:b w:val="0"/>
                <w:color w:val="000000"/>
                <w:sz w:val="18"/>
              </w:rPr>
              <w:t>Graph-first default; Sentinel portal transition 31 March 2027 and native hunting cutoff 1 February 2027 are recorded from official Microsoft sources.</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F-11</w:t>
            </w:r>
          </w:p>
        </w:tc>
        <w:tc>
          <w:tcPr>
            <w:tcW w:type="dxa" w:w="2376"/>
            <w:vAlign w:val="center"/>
            <w:shd w:fill="FFFFFF"/>
            <w:tcMar>
              <w:top w:w="70" w:type="dxa"/>
              <w:left w:w="70" w:type="dxa"/>
              <w:bottom w:w="70" w:type="dxa"/>
              <w:right w:w="70" w:type="dxa"/>
            </w:tcMar>
          </w:tcPr>
          <w:p>
            <w:pPr>
              <w:spacing w:after="60" w:before="40"/>
            </w:pPr>
            <w:r>
              <w:rPr>
                <w:b w:val="0"/>
                <w:color w:val="000000"/>
                <w:sz w:val="18"/>
              </w:rPr>
              <w:t>Withdrawn by study</w:t>
              <w:br/>
              <w:t>None</w:t>
            </w:r>
          </w:p>
        </w:tc>
        <w:tc>
          <w:tcPr>
            <w:tcW w:type="dxa" w:w="5904"/>
            <w:vAlign w:val="center"/>
            <w:shd w:fill="FFFFFF"/>
            <w:tcMar>
              <w:top w:w="70" w:type="dxa"/>
              <w:left w:w="70" w:type="dxa"/>
              <w:bottom w:w="70" w:type="dxa"/>
              <w:right w:w="70" w:type="dxa"/>
            </w:tcMar>
          </w:tcPr>
          <w:p>
            <w:pPr>
              <w:spacing w:after="60" w:before="40"/>
            </w:pPr>
            <w:r>
              <w:rPr>
                <w:b w:val="0"/>
                <w:color w:val="000000"/>
                <w:sz w:val="18"/>
              </w:rPr>
              <w:t>No change based on the withdrawn date finding.</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F-12</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M01 M02</w:t>
            </w:r>
          </w:p>
        </w:tc>
        <w:tc>
          <w:tcPr>
            <w:tcW w:type="dxa" w:w="5904"/>
            <w:vAlign w:val="center"/>
            <w:shd w:fill="F0F4F7"/>
            <w:tcMar>
              <w:top w:w="70" w:type="dxa"/>
              <w:left w:w="70" w:type="dxa"/>
              <w:bottom w:w="70" w:type="dxa"/>
              <w:right w:w="70" w:type="dxa"/>
            </w:tcMar>
          </w:tcPr>
          <w:p>
            <w:pPr>
              <w:spacing w:after="60" w:before="40"/>
            </w:pPr>
            <w:r>
              <w:rPr>
                <w:b w:val="0"/>
                <w:color w:val="000000"/>
                <w:sz w:val="18"/>
              </w:rPr>
              <w:t>Operator-directory P2 reported in place; direct group membership and licensing prerequisites documented, not imposed on every customer directory for portal roles.</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F-13</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 design choice</w:t>
              <w:br/>
              <w:t>M10</w:t>
            </w:r>
          </w:p>
        </w:tc>
        <w:tc>
          <w:tcPr>
            <w:tcW w:type="dxa" w:w="5904"/>
            <w:vAlign w:val="center"/>
            <w:shd w:fill="FFFFFF"/>
            <w:tcMar>
              <w:top w:w="70" w:type="dxa"/>
              <w:left w:w="70" w:type="dxa"/>
              <w:bottom w:w="70" w:type="dxa"/>
              <w:right w:w="70" w:type="dxa"/>
            </w:tcMar>
          </w:tcPr>
          <w:p>
            <w:pPr>
              <w:spacing w:after="60" w:before="40"/>
            </w:pPr>
            <w:r>
              <w:rPr>
                <w:b w:val="0"/>
                <w:color w:val="000000"/>
                <w:sz w:val="18"/>
              </w:rPr>
              <w:t>Per-tenant/model Qdrant prefixes and collections are retained for isolation. Capacity and any later shared layout require a measured reviewed change.</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F-14 F-39</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 architecture; sizing open</w:t>
              <w:br/>
              <w:t>M01</w:t>
            </w:r>
          </w:p>
        </w:tc>
        <w:tc>
          <w:tcPr>
            <w:tcW w:type="dxa" w:w="5904"/>
            <w:vAlign w:val="center"/>
            <w:shd w:fill="F0F4F7"/>
            <w:tcMar>
              <w:top w:w="70" w:type="dxa"/>
              <w:left w:w="70" w:type="dxa"/>
              <w:bottom w:w="70" w:type="dxa"/>
              <w:right w:w="70" w:type="dxa"/>
            </w:tcMar>
          </w:tcPr>
          <w:p>
            <w:pPr>
              <w:spacing w:after="60" w:before="40"/>
            </w:pPr>
            <w:r>
              <w:rPr>
                <w:b w:val="0"/>
                <w:color w:val="000000"/>
                <w:sz w:val="18"/>
              </w:rPr>
              <w:t>Atlas default customer/operator separation bounded client pools and measured namespaces/user limits; selective restore requires a tested workflow.</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F-15 F-26</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 network proof required</w:t>
              <w:br/>
              <w:t>M03</w:t>
            </w:r>
          </w:p>
        </w:tc>
        <w:tc>
          <w:tcPr>
            <w:tcW w:type="dxa" w:w="5904"/>
            <w:vAlign w:val="center"/>
            <w:shd w:fill="FFFFFF"/>
            <w:tcMar>
              <w:top w:w="70" w:type="dxa"/>
              <w:left w:w="70" w:type="dxa"/>
              <w:bottom w:w="70" w:type="dxa"/>
              <w:right w:w="70" w:type="dxa"/>
            </w:tcMar>
          </w:tcPr>
          <w:p>
            <w:pPr>
              <w:spacing w:after="60" w:before="40"/>
            </w:pPr>
            <w:r>
              <w:rPr>
                <w:b w:val="0"/>
                <w:color w:val="000000"/>
                <w:sz w:val="18"/>
              </w:rPr>
              <w:t>Defender async scanning remediation off malicious-evidence custody and NotScanned paths. Test the supported scan-result delivery network before release.</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F-16</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M01 M16</w:t>
            </w:r>
          </w:p>
        </w:tc>
        <w:tc>
          <w:tcPr>
            <w:tcW w:type="dxa" w:w="5904"/>
            <w:vAlign w:val="center"/>
            <w:shd w:fill="F0F4F7"/>
            <w:tcMar>
              <w:top w:w="70" w:type="dxa"/>
              <w:left w:w="70" w:type="dxa"/>
              <w:bottom w:w="70" w:type="dxa"/>
              <w:right w:w="70" w:type="dxa"/>
            </w:tcMar>
          </w:tcPr>
          <w:p>
            <w:pPr>
              <w:spacing w:after="60" w:before="40"/>
            </w:pPr>
            <w:r>
              <w:rPr>
                <w:b w:val="0"/>
                <w:color w:val="000000"/>
                <w:sz w:val="18"/>
              </w:rPr>
              <w:t>Central consent is the default under later register rulings; signed customer runner optional when customer requires execution custody.</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F-17</w:t>
            </w:r>
          </w:p>
        </w:tc>
        <w:tc>
          <w:tcPr>
            <w:tcW w:type="dxa" w:w="2376"/>
            <w:vAlign w:val="center"/>
            <w:shd w:fill="FFFFFF"/>
            <w:tcMar>
              <w:top w:w="70" w:type="dxa"/>
              <w:left w:w="70" w:type="dxa"/>
              <w:bottom w:w="70" w:type="dxa"/>
              <w:right w:w="70" w:type="dxa"/>
            </w:tcMar>
          </w:tcPr>
          <w:p>
            <w:pPr>
              <w:spacing w:after="60" w:before="40"/>
            </w:pPr>
            <w:r>
              <w:rPr>
                <w:b w:val="0"/>
                <w:color w:val="000000"/>
                <w:sz w:val="18"/>
              </w:rPr>
              <w:t>Proposed implementation</w:t>
              <w:br/>
              <w:t>M01 M04</w:t>
            </w:r>
          </w:p>
        </w:tc>
        <w:tc>
          <w:tcPr>
            <w:tcW w:type="dxa" w:w="5904"/>
            <w:vAlign w:val="center"/>
            <w:shd w:fill="FFFFFF"/>
            <w:tcMar>
              <w:top w:w="70" w:type="dxa"/>
              <w:left w:w="70" w:type="dxa"/>
              <w:bottom w:w="70" w:type="dxa"/>
              <w:right w:w="70" w:type="dxa"/>
            </w:tcMar>
          </w:tcPr>
          <w:p>
            <w:pPr>
              <w:spacing w:after="60" w:before="40"/>
            </w:pPr>
            <w:r>
              <w:rPr>
                <w:b w:val="0"/>
                <w:color w:val="000000"/>
                <w:sz w:val="18"/>
              </w:rPr>
              <w:t>Durable Mongo outbox and Hangfire Reader jobs; Service Bus removed as assumed infrastructure. Transport selection is still a tracked design decision.</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F-18</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 target distinction</w:t>
              <w:br/>
              <w:t>M01 M15</w:t>
            </w:r>
          </w:p>
        </w:tc>
        <w:tc>
          <w:tcPr>
            <w:tcW w:type="dxa" w:w="5904"/>
            <w:vAlign w:val="center"/>
            <w:shd w:fill="F0F4F7"/>
            <w:tcMar>
              <w:top w:w="70" w:type="dxa"/>
              <w:left w:w="70" w:type="dxa"/>
              <w:bottom w:w="70" w:type="dxa"/>
              <w:right w:w="70" w:type="dxa"/>
            </w:tcMar>
          </w:tcPr>
          <w:p>
            <w:pPr>
              <w:spacing w:after="60" w:before="40"/>
            </w:pPr>
            <w:r>
              <w:rPr>
                <w:b w:val="0"/>
                <w:color w:val="000000"/>
                <w:sz w:val="18"/>
              </w:rPr>
              <w:t>Two-second cached-read objective remains a proposed SLO floor; browser interaction design target must be agreed and measured before pilot.</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F-19</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M12</w:t>
            </w:r>
          </w:p>
        </w:tc>
        <w:tc>
          <w:tcPr>
            <w:tcW w:type="dxa" w:w="5904"/>
            <w:vAlign w:val="center"/>
            <w:shd w:fill="FFFFFF"/>
            <w:tcMar>
              <w:top w:w="70" w:type="dxa"/>
              <w:left w:w="70" w:type="dxa"/>
              <w:bottom w:w="70" w:type="dxa"/>
              <w:right w:w="70" w:type="dxa"/>
            </w:tcMar>
          </w:tcPr>
          <w:p>
            <w:pPr>
              <w:spacing w:after="60" w:before="40"/>
            </w:pPr>
            <w:r>
              <w:rPr>
                <w:b w:val="0"/>
                <w:color w:val="000000"/>
                <w:sz w:val="18"/>
              </w:rPr>
              <w:t>Ordered versioned steps first; DAG fan-out optional later.</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F-20</w:t>
            </w:r>
          </w:p>
        </w:tc>
        <w:tc>
          <w:tcPr>
            <w:tcW w:type="dxa" w:w="2376"/>
            <w:vAlign w:val="center"/>
            <w:shd w:fill="F0F4F7"/>
            <w:tcMar>
              <w:top w:w="70" w:type="dxa"/>
              <w:left w:w="70" w:type="dxa"/>
              <w:bottom w:w="70" w:type="dxa"/>
              <w:right w:w="70" w:type="dxa"/>
            </w:tcMar>
          </w:tcPr>
          <w:p>
            <w:pPr>
              <w:spacing w:after="60" w:before="40"/>
            </w:pPr>
            <w:r>
              <w:rPr>
                <w:b w:val="0"/>
                <w:color w:val="000000"/>
                <w:sz w:val="18"/>
              </w:rPr>
              <w:t>Verified and resolved</w:t>
              <w:br/>
              <w:t>M16</w:t>
            </w:r>
          </w:p>
        </w:tc>
        <w:tc>
          <w:tcPr>
            <w:tcW w:type="dxa" w:w="5904"/>
            <w:vAlign w:val="center"/>
            <w:shd w:fill="F0F4F7"/>
            <w:tcMar>
              <w:top w:w="70" w:type="dxa"/>
              <w:left w:w="70" w:type="dxa"/>
              <w:bottom w:w="70" w:type="dxa"/>
              <w:right w:w="70" w:type="dxa"/>
            </w:tcMar>
          </w:tcPr>
          <w:p>
            <w:pPr>
              <w:spacing w:after="60" w:before="40"/>
            </w:pPr>
            <w:r>
              <w:rPr>
                <w:b w:val="0"/>
                <w:color w:val="000000"/>
                <w:sz w:val="18"/>
              </w:rPr>
              <w:t>Teams adapter consent installation and delivery evidence explicitly scoped for first business release.</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F-21</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 with date limit</w:t>
              <w:br/>
              <w:t>M16</w:t>
            </w:r>
          </w:p>
        </w:tc>
        <w:tc>
          <w:tcPr>
            <w:tcW w:type="dxa" w:w="5904"/>
            <w:vAlign w:val="center"/>
            <w:shd w:fill="FFFFFF"/>
            <w:tcMar>
              <w:top w:w="70" w:type="dxa"/>
              <w:left w:w="70" w:type="dxa"/>
              <w:bottom w:w="70" w:type="dxa"/>
              <w:right w:w="70" w:type="dxa"/>
            </w:tcMar>
          </w:tcPr>
          <w:p>
            <w:pPr>
              <w:spacing w:after="60" w:before="40"/>
            </w:pPr>
            <w:r>
              <w:rPr>
                <w:b w:val="0"/>
                <w:color w:val="000000"/>
                <w:sz w:val="18"/>
              </w:rPr>
              <w:t>Graph auditLogQuery asynchronous investigation versus existing continuous feed; unauthenticated Message Center retirement dates are not asserted.</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F-22 F-38</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M03 M04 M10 M11 M02</w:t>
            </w:r>
          </w:p>
        </w:tc>
        <w:tc>
          <w:tcPr>
            <w:tcW w:type="dxa" w:w="5904"/>
            <w:vAlign w:val="center"/>
            <w:shd w:fill="F0F4F7"/>
            <w:tcMar>
              <w:top w:w="70" w:type="dxa"/>
              <w:left w:w="70" w:type="dxa"/>
              <w:bottom w:w="70" w:type="dxa"/>
              <w:right w:w="70" w:type="dxa"/>
            </w:tcMar>
          </w:tcPr>
          <w:p>
            <w:pPr>
              <w:spacing w:after="60" w:before="40"/>
            </w:pPr>
            <w:r>
              <w:rPr>
                <w:b w:val="0"/>
                <w:color w:val="000000"/>
                <w:sz w:val="18"/>
              </w:rPr>
              <w:t>M03 dependency on AI/budgets is conditional; M10 owns embedding work; inbox compound keys match and entitlement-versioned cache invalidates local revocation.</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F-23 F-30</w:t>
            </w:r>
          </w:p>
        </w:tc>
        <w:tc>
          <w:tcPr>
            <w:tcW w:type="dxa" w:w="2376"/>
            <w:vAlign w:val="center"/>
            <w:shd w:fill="FFFFFF"/>
            <w:tcMar>
              <w:top w:w="70" w:type="dxa"/>
              <w:left w:w="70" w:type="dxa"/>
              <w:bottom w:w="70" w:type="dxa"/>
              <w:right w:w="70" w:type="dxa"/>
            </w:tcMar>
          </w:tcPr>
          <w:p>
            <w:pPr>
              <w:spacing w:after="60" w:before="40"/>
            </w:pPr>
            <w:r>
              <w:rPr>
                <w:b w:val="0"/>
                <w:color w:val="000000"/>
                <w:sz w:val="18"/>
              </w:rPr>
              <w:t>Verified and resolved</w:t>
              <w:br/>
              <w:t>M04 M05 M06</w:t>
            </w:r>
          </w:p>
        </w:tc>
        <w:tc>
          <w:tcPr>
            <w:tcW w:type="dxa" w:w="5904"/>
            <w:vAlign w:val="center"/>
            <w:shd w:fill="FFFFFF"/>
            <w:tcMar>
              <w:top w:w="70" w:type="dxa"/>
              <w:left w:w="70" w:type="dxa"/>
              <w:bottom w:w="70" w:type="dxa"/>
              <w:right w:w="70" w:type="dxa"/>
            </w:tcMar>
          </w:tcPr>
          <w:p>
            <w:pPr>
              <w:spacing w:after="60" w:before="40"/>
            </w:pPr>
            <w:r>
              <w:rPr>
                <w:b w:val="0"/>
                <w:color w:val="000000"/>
                <w:sz w:val="18"/>
              </w:rPr>
              <w:t>Graph text owner versus Sentinel group owner, redirected aliases and awaitingAction are handled per provider capability.</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F-24</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 by confirmed ruling</w:t>
              <w:br/>
              <w:t>M01 M02</w:t>
            </w:r>
          </w:p>
        </w:tc>
        <w:tc>
          <w:tcPr>
            <w:tcW w:type="dxa" w:w="5904"/>
            <w:vAlign w:val="center"/>
            <w:shd w:fill="F0F4F7"/>
            <w:tcMar>
              <w:top w:w="70" w:type="dxa"/>
              <w:left w:w="70" w:type="dxa"/>
              <w:bottom w:w="70" w:type="dxa"/>
              <w:right w:w="70" w:type="dxa"/>
            </w:tcMar>
          </w:tcPr>
          <w:p>
            <w:pPr>
              <w:spacing w:after="60" w:before="40"/>
            </w:pPr>
            <w:r>
              <w:rPr>
                <w:b w:val="0"/>
                <w:color w:val="000000"/>
                <w:sz w:val="18"/>
              </w:rPr>
              <w:t>Single operator portal issuer with B2B guests; guest cannot gain operator roles; no customer-issued privilege ceiling.</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F-25</w:t>
            </w:r>
          </w:p>
        </w:tc>
        <w:tc>
          <w:tcPr>
            <w:tcW w:type="dxa" w:w="2376"/>
            <w:vAlign w:val="center"/>
            <w:shd w:fill="FFFFFF"/>
            <w:tcMar>
              <w:top w:w="70" w:type="dxa"/>
              <w:left w:w="70" w:type="dxa"/>
              <w:bottom w:w="70" w:type="dxa"/>
              <w:right w:w="70" w:type="dxa"/>
            </w:tcMar>
          </w:tcPr>
          <w:p>
            <w:pPr>
              <w:spacing w:after="60" w:before="40"/>
            </w:pPr>
            <w:r>
              <w:rPr>
                <w:b w:val="0"/>
                <w:color w:val="000000"/>
                <w:sz w:val="18"/>
              </w:rPr>
              <w:t>Not defined in supplied study</w:t>
              <w:br/>
              <w:t>None</w:t>
            </w:r>
          </w:p>
        </w:tc>
        <w:tc>
          <w:tcPr>
            <w:tcW w:type="dxa" w:w="5904"/>
            <w:vAlign w:val="center"/>
            <w:shd w:fill="FFFFFF"/>
            <w:tcMar>
              <w:top w:w="70" w:type="dxa"/>
              <w:left w:w="70" w:type="dxa"/>
              <w:bottom w:w="70" w:type="dxa"/>
              <w:right w:w="70" w:type="dxa"/>
            </w:tcMar>
          </w:tcPr>
          <w:p>
            <w:pPr>
              <w:spacing w:after="60" w:before="40"/>
            </w:pPr>
            <w:r>
              <w:rPr>
                <w:b w:val="0"/>
                <w:color w:val="000000"/>
                <w:sz w:val="18"/>
              </w:rPr>
              <w:t>No finding invented; numbering is preserved.</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F-27 F-28</w:t>
            </w:r>
          </w:p>
        </w:tc>
        <w:tc>
          <w:tcPr>
            <w:tcW w:type="dxa" w:w="2376"/>
            <w:vAlign w:val="center"/>
            <w:shd w:fill="F0F4F7"/>
            <w:tcMar>
              <w:top w:w="70" w:type="dxa"/>
              <w:left w:w="70" w:type="dxa"/>
              <w:bottom w:w="70" w:type="dxa"/>
              <w:right w:w="70" w:type="dxa"/>
            </w:tcMar>
          </w:tcPr>
          <w:p>
            <w:pPr>
              <w:spacing w:after="60" w:before="40"/>
            </w:pPr>
            <w:r>
              <w:rPr>
                <w:b w:val="0"/>
                <w:color w:val="000000"/>
                <w:sz w:val="18"/>
              </w:rPr>
              <w:t>Resolved</w:t>
              <w:br/>
              <w:t>M12</w:t>
            </w:r>
          </w:p>
        </w:tc>
        <w:tc>
          <w:tcPr>
            <w:tcW w:type="dxa" w:w="5904"/>
            <w:vAlign w:val="center"/>
            <w:shd w:fill="F0F4F7"/>
            <w:tcMar>
              <w:top w:w="70" w:type="dxa"/>
              <w:left w:w="70" w:type="dxa"/>
              <w:bottom w:w="70" w:type="dxa"/>
              <w:right w:w="70" w:type="dxa"/>
            </w:tcMar>
          </w:tcPr>
          <w:p>
            <w:pPr>
              <w:spacing w:after="60" w:before="40"/>
            </w:pPr>
            <w:r>
              <w:rPr>
                <w:b w:val="0"/>
                <w:color w:val="000000"/>
                <w:sz w:val="18"/>
              </w:rPr>
              <w:t>Live short-lived go after lease and complete Accepted UnknownOutcome verification and failed compensation paths.</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F-29</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M09 M04 M13 M14</w:t>
            </w:r>
          </w:p>
        </w:tc>
        <w:tc>
          <w:tcPr>
            <w:tcW w:type="dxa" w:w="5904"/>
            <w:vAlign w:val="center"/>
            <w:shd w:fill="FFFFFF"/>
            <w:tcMar>
              <w:top w:w="70" w:type="dxa"/>
              <w:left w:w="70" w:type="dxa"/>
              <w:bottom w:w="70" w:type="dxa"/>
              <w:right w:w="70" w:type="dxa"/>
            </w:tcMar>
          </w:tcPr>
          <w:p>
            <w:pPr>
              <w:spacing w:after="60" w:before="40"/>
            </w:pPr>
            <w:r>
              <w:rPr>
                <w:b w:val="0"/>
                <w:color w:val="000000"/>
                <w:sz w:val="18"/>
              </w:rPr>
              <w:t>WorkReference lease plus owner conditional assignment; no cross-engine atomic cursor/incident write.</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F-31</w:t>
            </w:r>
          </w:p>
        </w:tc>
        <w:tc>
          <w:tcPr>
            <w:tcW w:type="dxa" w:w="2376"/>
            <w:vAlign w:val="center"/>
            <w:shd w:fill="F0F4F7"/>
            <w:tcMar>
              <w:top w:w="70" w:type="dxa"/>
              <w:left w:w="70" w:type="dxa"/>
              <w:bottom w:w="70" w:type="dxa"/>
              <w:right w:w="70" w:type="dxa"/>
            </w:tcMar>
          </w:tcPr>
          <w:p>
            <w:pPr>
              <w:spacing w:after="60" w:before="40"/>
            </w:pPr>
            <w:r>
              <w:rPr>
                <w:b w:val="0"/>
                <w:color w:val="000000"/>
                <w:sz w:val="18"/>
              </w:rPr>
              <w:t>Verified and resolved</w:t>
              <w:br/>
              <w:t>M05 M10</w:t>
            </w:r>
          </w:p>
        </w:tc>
        <w:tc>
          <w:tcPr>
            <w:tcW w:type="dxa" w:w="5904"/>
            <w:vAlign w:val="center"/>
            <w:shd w:fill="F0F4F7"/>
            <w:tcMar>
              <w:top w:w="70" w:type="dxa"/>
              <w:left w:w="70" w:type="dxa"/>
              <w:bottom w:w="70" w:type="dxa"/>
              <w:right w:w="70" w:type="dxa"/>
            </w:tcMar>
          </w:tcPr>
          <w:p>
            <w:pPr>
              <w:spacing w:after="60" w:before="40"/>
            </w:pPr>
            <w:r>
              <w:rPr>
                <w:b w:val="0"/>
                <w:color w:val="000000"/>
                <w:sz w:val="18"/>
              </w:rPr>
              <w:t>Fail closed if the effective hunting workspace cannot be proved; test inaccessible requested workspace and explicit cloud scope.</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F-32 F-33</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 design; evaluation gates open</w:t>
              <w:br/>
              <w:t>M10</w:t>
            </w:r>
          </w:p>
        </w:tc>
        <w:tc>
          <w:tcPr>
            <w:tcW w:type="dxa" w:w="5904"/>
            <w:vAlign w:val="center"/>
            <w:shd w:fill="FFFFFF"/>
            <w:tcMar>
              <w:top w:w="70" w:type="dxa"/>
              <w:left w:w="70" w:type="dxa"/>
              <w:bottom w:w="70" w:type="dxa"/>
              <w:right w:w="70" w:type="dxa"/>
            </w:tcMar>
          </w:tcPr>
          <w:p>
            <w:pPr>
              <w:spacing w:after="60" w:before="40"/>
            </w:pPr>
            <w:r>
              <w:rPr>
                <w:b w:val="0"/>
                <w:color w:val="000000"/>
                <w:sz w:val="18"/>
              </w:rPr>
              <w:t>Private authenticated local path and streaming proof plus an owned labelled evaluation dataset with independent reviewer.</w:t>
            </w:r>
          </w:p>
        </w:tc>
      </w:tr>
      <w:tr>
        <w:trPr>
          <w:cantSplit/>
        </w:trPr>
        <w:tc>
          <w:tcPr>
            <w:tcW w:type="dxa" w:w="1512"/>
            <w:vAlign w:val="center"/>
            <w:shd w:fill="F0F4F7"/>
            <w:tcMar>
              <w:top w:w="70" w:type="dxa"/>
              <w:left w:w="70" w:type="dxa"/>
              <w:bottom w:w="70" w:type="dxa"/>
              <w:right w:w="70" w:type="dxa"/>
            </w:tcMar>
          </w:tcPr>
          <w:p>
            <w:pPr>
              <w:spacing w:after="60" w:before="40"/>
            </w:pPr>
            <w:r>
              <w:rPr>
                <w:b w:val="0"/>
                <w:color w:val="000000"/>
                <w:sz w:val="18"/>
              </w:rPr>
              <w:t>F-35</w:t>
            </w:r>
          </w:p>
        </w:tc>
        <w:tc>
          <w:tcPr>
            <w:tcW w:type="dxa" w:w="2376"/>
            <w:vAlign w:val="center"/>
            <w:shd w:fill="F0F4F7"/>
            <w:tcMar>
              <w:top w:w="70" w:type="dxa"/>
              <w:left w:w="70" w:type="dxa"/>
              <w:bottom w:w="70" w:type="dxa"/>
              <w:right w:w="70" w:type="dxa"/>
            </w:tcMar>
          </w:tcPr>
          <w:p>
            <w:pPr>
              <w:spacing w:after="60" w:before="40"/>
            </w:pPr>
            <w:r>
              <w:rPr>
                <w:b w:val="0"/>
                <w:color w:val="000000"/>
                <w:sz w:val="18"/>
              </w:rPr>
              <w:t>Verified and resolved</w:t>
              <w:br/>
              <w:t>M04</w:t>
            </w:r>
          </w:p>
        </w:tc>
        <w:tc>
          <w:tcPr>
            <w:tcW w:type="dxa" w:w="5904"/>
            <w:vAlign w:val="center"/>
            <w:shd w:fill="F0F4F7"/>
            <w:tcMar>
              <w:top w:w="70" w:type="dxa"/>
              <w:left w:w="70" w:type="dxa"/>
              <w:bottom w:w="70" w:type="dxa"/>
              <w:right w:w="70" w:type="dxa"/>
            </w:tcMar>
          </w:tcPr>
          <w:p>
            <w:pPr>
              <w:spacing w:after="60" w:before="40"/>
            </w:pPr>
            <w:r>
              <w:rPr>
                <w:b w:val="0"/>
                <w:color w:val="000000"/>
                <w:sz w:val="18"/>
              </w:rPr>
              <w:t>CSF has six functions; improvement is ID.IM within Identify, not a seventh function.</w:t>
            </w:r>
          </w:p>
        </w:tc>
      </w:tr>
      <w:tr>
        <w:trPr>
          <w:cantSplit/>
        </w:trPr>
        <w:tc>
          <w:tcPr>
            <w:tcW w:type="dxa" w:w="1512"/>
            <w:vAlign w:val="center"/>
            <w:shd w:fill="FFFFFF"/>
            <w:tcMar>
              <w:top w:w="70" w:type="dxa"/>
              <w:left w:w="70" w:type="dxa"/>
              <w:bottom w:w="70" w:type="dxa"/>
              <w:right w:w="70" w:type="dxa"/>
            </w:tcMar>
          </w:tcPr>
          <w:p>
            <w:pPr>
              <w:spacing w:after="60" w:before="40"/>
            </w:pPr>
            <w:r>
              <w:rPr>
                <w:b w:val="0"/>
                <w:color w:val="000000"/>
                <w:sz w:val="18"/>
              </w:rPr>
              <w:t>F-37</w:t>
            </w:r>
          </w:p>
        </w:tc>
        <w:tc>
          <w:tcPr>
            <w:tcW w:type="dxa" w:w="2376"/>
            <w:vAlign w:val="center"/>
            <w:shd w:fill="FFFFFF"/>
            <w:tcMar>
              <w:top w:w="70" w:type="dxa"/>
              <w:left w:w="70" w:type="dxa"/>
              <w:bottom w:w="70" w:type="dxa"/>
              <w:right w:w="70" w:type="dxa"/>
            </w:tcMar>
          </w:tcPr>
          <w:p>
            <w:pPr>
              <w:spacing w:after="60" w:before="40"/>
            </w:pPr>
            <w:r>
              <w:rPr>
                <w:b w:val="0"/>
                <w:color w:val="000000"/>
                <w:sz w:val="18"/>
              </w:rPr>
              <w:t>Resolved</w:t>
              <w:br/>
              <w:t>References</w:t>
            </w:r>
          </w:p>
        </w:tc>
        <w:tc>
          <w:tcPr>
            <w:tcW w:type="dxa" w:w="5904"/>
            <w:vAlign w:val="center"/>
            <w:shd w:fill="FFFFFF"/>
            <w:tcMar>
              <w:top w:w="70" w:type="dxa"/>
              <w:left w:w="70" w:type="dxa"/>
              <w:bottom w:w="70" w:type="dxa"/>
              <w:right w:w="70" w:type="dxa"/>
            </w:tcMar>
          </w:tcPr>
          <w:p>
            <w:pPr>
              <w:spacing w:after="60" w:before="40"/>
            </w:pPr>
            <w:r>
              <w:rPr>
                <w:b w:val="0"/>
                <w:color w:val="000000"/>
                <w:sz w:val="18"/>
              </w:rPr>
              <w:t>New references link research to corrected features; old sources remain as relevant context rather than unexplained decisions.</w:t>
            </w:r>
          </w:p>
        </w:tc>
      </w:tr>
    </w:tbl>
    <w:p>
      <w:bookmarkStart w:id="126" w:name="orca_ch_126"/>
      <w:pPr>
        <w:pStyle w:val="LegacyHead1_Heading1"/>
      </w:pPr>
      <w:r>
        <w:t>Carried forward findings and traceability 2</w:t>
      </w:r>
      <w:bookmarkEnd w:id="126"/>
    </w:p>
    <w:p>
      <w:r>
        <w:t>Retained finding and evidence identifiers from the detailed v5 baseline. A historical “Resolved” or “Verified” disposition describes that source review, not current implementation completion or a fresh API capability check. Current 23-engine scope and confirmed decisions govern any older labels. No missing finding is invented to fill a numbering gap.</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6768"/>
      </w:tblGrid>
      <w:tr>
        <w:trPr>
          <w:cantSplit/>
          <w:tblHeader/>
        </w:trPr>
        <w:tc>
          <w:tcPr>
            <w:tcW w:type="dxa" w:w="3024"/>
            <w:vAlign w:val="center"/>
            <w:shd w:fill="243E53"/>
            <w:tcMar>
              <w:top w:w="70" w:type="dxa"/>
              <w:left w:w="70" w:type="dxa"/>
              <w:bottom w:w="70" w:type="dxa"/>
              <w:right w:w="70" w:type="dxa"/>
            </w:tcMar>
          </w:tcPr>
          <w:p>
            <w:pPr>
              <w:spacing w:after="60" w:before="40"/>
            </w:pPr>
            <w:r>
              <w:rPr>
                <w:b/>
                <w:color w:val="FFFFFF"/>
                <w:sz w:val="18"/>
              </w:rPr>
              <w:t>Added role values</w:t>
            </w:r>
          </w:p>
        </w:tc>
        <w:tc>
          <w:tcPr>
            <w:tcW w:type="dxa" w:w="6768"/>
            <w:vAlign w:val="center"/>
            <w:shd w:fill="243E53"/>
            <w:tcMar>
              <w:top w:w="70" w:type="dxa"/>
              <w:left w:w="70" w:type="dxa"/>
              <w:bottom w:w="70" w:type="dxa"/>
              <w:right w:w="70" w:type="dxa"/>
            </w:tcMar>
          </w:tcPr>
          <w:p>
            <w:pPr>
              <w:spacing w:after="60" w:before="40"/>
            </w:pPr>
            <w:r>
              <w:rPr>
                <w:b/>
                <w:color w:val="FFFFFF"/>
                <w:sz w:val="18"/>
              </w:rPr>
              <w:t>Purpose</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SOC.Reader</w:t>
            </w:r>
          </w:p>
        </w:tc>
        <w:tc>
          <w:tcPr>
            <w:tcW w:type="dxa" w:w="6768"/>
            <w:vAlign w:val="center"/>
            <w:shd w:fill="F0F4F7"/>
            <w:tcMar>
              <w:top w:w="70" w:type="dxa"/>
              <w:left w:w="70" w:type="dxa"/>
              <w:bottom w:w="70" w:type="dxa"/>
              <w:right w:w="70" w:type="dxa"/>
            </w:tcMar>
          </w:tcPr>
          <w:p>
            <w:pPr>
              <w:spacing w:after="60" w:before="40"/>
            </w:pPr>
            <w:r>
              <w:rPr>
                <w:b w:val="0"/>
                <w:color w:val="000000"/>
                <w:sz w:val="18"/>
              </w:rPr>
              <w:t>SOC Read Only Analyst; No mutation or implied export</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Platform.SuperAdmin</w:t>
            </w:r>
          </w:p>
        </w:tc>
        <w:tc>
          <w:tcPr>
            <w:tcW w:type="dxa" w:w="6768"/>
            <w:vAlign w:val="center"/>
            <w:shd w:fill="FFFFFF"/>
            <w:tcMar>
              <w:top w:w="70" w:type="dxa"/>
              <w:left w:w="70" w:type="dxa"/>
              <w:bottom w:w="70" w:type="dxa"/>
              <w:right w:w="70" w:type="dxa"/>
            </w:tcMar>
          </w:tcPr>
          <w:p>
            <w:pPr>
              <w:spacing w:after="60" w:before="40"/>
            </w:pPr>
            <w:r>
              <w:rPr>
                <w:b w:val="0"/>
                <w:color w:val="000000"/>
                <w:sz w:val="18"/>
              </w:rPr>
              <w:t>Super Admin; No tenant content bypass; no self approval</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AISOC.TenantMember</w:t>
            </w:r>
          </w:p>
        </w:tc>
        <w:tc>
          <w:tcPr>
            <w:tcW w:type="dxa" w:w="6768"/>
            <w:vAlign w:val="center"/>
            <w:shd w:fill="F0F4F7"/>
            <w:tcMar>
              <w:top w:w="70" w:type="dxa"/>
              <w:left w:w="70" w:type="dxa"/>
              <w:bottom w:w="70" w:type="dxa"/>
              <w:right w:w="70" w:type="dxa"/>
            </w:tcMar>
          </w:tcPr>
          <w:p>
            <w:pPr>
              <w:spacing w:after="60" w:before="40"/>
            </w:pPr>
            <w:r>
              <w:rPr>
                <w:b w:val="0"/>
                <w:color w:val="000000"/>
                <w:sz w:val="18"/>
              </w:rPr>
              <w:t>Tenant Membership Marker; No feature permission by itself</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Assets.Manager</w:t>
            </w:r>
          </w:p>
        </w:tc>
        <w:tc>
          <w:tcPr>
            <w:tcW w:type="dxa" w:w="6768"/>
            <w:vAlign w:val="center"/>
            <w:shd w:fill="FFFFFF"/>
            <w:tcMar>
              <w:top w:w="70" w:type="dxa"/>
              <w:left w:w="70" w:type="dxa"/>
              <w:bottom w:w="70" w:type="dxa"/>
              <w:right w:w="70" w:type="dxa"/>
            </w:tcMar>
          </w:tcPr>
          <w:p>
            <w:pPr>
              <w:spacing w:after="60" w:before="40"/>
            </w:pPr>
            <w:r>
              <w:rPr>
                <w:b w:val="0"/>
                <w:color w:val="000000"/>
                <w:sz w:val="18"/>
              </w:rPr>
              <w:t>Asset Manager; No response authority</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Change.Requester</w:t>
            </w:r>
          </w:p>
        </w:tc>
        <w:tc>
          <w:tcPr>
            <w:tcW w:type="dxa" w:w="6768"/>
            <w:vAlign w:val="center"/>
            <w:shd w:fill="F0F4F7"/>
            <w:tcMar>
              <w:top w:w="70" w:type="dxa"/>
              <w:left w:w="70" w:type="dxa"/>
              <w:bottom w:w="70" w:type="dxa"/>
              <w:right w:w="70" w:type="dxa"/>
            </w:tcMar>
          </w:tcPr>
          <w:p>
            <w:pPr>
              <w:spacing w:after="60" w:before="40"/>
            </w:pPr>
            <w:r>
              <w:rPr>
                <w:b w:val="0"/>
                <w:color w:val="000000"/>
                <w:sz w:val="18"/>
              </w:rPr>
              <w:t>Change Requester; Cannot approve own plan</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Change.Manager</w:t>
            </w:r>
          </w:p>
        </w:tc>
        <w:tc>
          <w:tcPr>
            <w:tcW w:type="dxa" w:w="6768"/>
            <w:vAlign w:val="center"/>
            <w:shd w:fill="FFFFFF"/>
            <w:tcMar>
              <w:top w:w="70" w:type="dxa"/>
              <w:left w:w="70" w:type="dxa"/>
              <w:bottom w:w="70" w:type="dxa"/>
              <w:right w:w="70" w:type="dxa"/>
            </w:tcMar>
          </w:tcPr>
          <w:p>
            <w:pPr>
              <w:spacing w:after="60" w:before="40"/>
            </w:pPr>
            <w:r>
              <w:rPr>
                <w:b w:val="0"/>
                <w:color w:val="000000"/>
                <w:sz w:val="18"/>
              </w:rPr>
              <w:t>Change Manager; Execution requires separate grant</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Change.Approver</w:t>
            </w:r>
          </w:p>
        </w:tc>
        <w:tc>
          <w:tcPr>
            <w:tcW w:type="dxa" w:w="6768"/>
            <w:vAlign w:val="center"/>
            <w:shd w:fill="F0F4F7"/>
            <w:tcMar>
              <w:top w:w="70" w:type="dxa"/>
              <w:left w:w="70" w:type="dxa"/>
              <w:bottom w:w="70" w:type="dxa"/>
              <w:right w:w="70" w:type="dxa"/>
            </w:tcMar>
          </w:tcPr>
          <w:p>
            <w:pPr>
              <w:spacing w:after="60" w:before="40"/>
            </w:pPr>
            <w:r>
              <w:rPr>
                <w:b w:val="0"/>
                <w:color w:val="000000"/>
                <w:sz w:val="18"/>
              </w:rPr>
              <w:t>Change Approver; Cannot approve own material authorship</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Problem.Analyst</w:t>
            </w:r>
          </w:p>
        </w:tc>
        <w:tc>
          <w:tcPr>
            <w:tcW w:type="dxa" w:w="6768"/>
            <w:vAlign w:val="center"/>
            <w:shd w:fill="FFFFFF"/>
            <w:tcMar>
              <w:top w:w="70" w:type="dxa"/>
              <w:left w:w="70" w:type="dxa"/>
              <w:bottom w:w="70" w:type="dxa"/>
              <w:right w:w="70" w:type="dxa"/>
            </w:tcMar>
          </w:tcPr>
          <w:p>
            <w:pPr>
              <w:spacing w:after="60" w:before="40"/>
            </w:pPr>
            <w:r>
              <w:rPr>
                <w:b w:val="0"/>
                <w:color w:val="000000"/>
                <w:sz w:val="18"/>
              </w:rPr>
              <w:t>Problem Analyst; Publication separately granted</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Problem.Manager</w:t>
            </w:r>
          </w:p>
        </w:tc>
        <w:tc>
          <w:tcPr>
            <w:tcW w:type="dxa" w:w="6768"/>
            <w:vAlign w:val="center"/>
            <w:shd w:fill="F0F4F7"/>
            <w:tcMar>
              <w:top w:w="70" w:type="dxa"/>
              <w:left w:w="70" w:type="dxa"/>
              <w:bottom w:w="70" w:type="dxa"/>
              <w:right w:w="70" w:type="dxa"/>
            </w:tcMar>
          </w:tcPr>
          <w:p>
            <w:pPr>
              <w:spacing w:after="60" w:before="40"/>
            </w:pPr>
            <w:r>
              <w:rPr>
                <w:b w:val="0"/>
                <w:color w:val="000000"/>
                <w:sz w:val="18"/>
              </w:rPr>
              <w:t>Problem Manager; No change or response bypass</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FinOps.Analyst</w:t>
            </w:r>
          </w:p>
        </w:tc>
        <w:tc>
          <w:tcPr>
            <w:tcW w:type="dxa" w:w="6768"/>
            <w:vAlign w:val="center"/>
            <w:shd w:fill="FFFFFF"/>
            <w:tcMar>
              <w:top w:w="70" w:type="dxa"/>
              <w:left w:w="70" w:type="dxa"/>
              <w:bottom w:w="70" w:type="dxa"/>
              <w:right w:w="70" w:type="dxa"/>
            </w:tcMar>
          </w:tcPr>
          <w:p>
            <w:pPr>
              <w:spacing w:after="60" w:before="40"/>
            </w:pPr>
            <w:r>
              <w:rPr>
                <w:b w:val="0"/>
                <w:color w:val="000000"/>
                <w:sz w:val="18"/>
              </w:rPr>
              <w:t>FinOps Analyst; No commitment purchase authority</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Licence.Administrator</w:t>
            </w:r>
          </w:p>
        </w:tc>
        <w:tc>
          <w:tcPr>
            <w:tcW w:type="dxa" w:w="6768"/>
            <w:vAlign w:val="center"/>
            <w:shd w:fill="F0F4F7"/>
            <w:tcMar>
              <w:top w:w="70" w:type="dxa"/>
              <w:left w:w="70" w:type="dxa"/>
              <w:bottom w:w="70" w:type="dxa"/>
              <w:right w:w="70" w:type="dxa"/>
            </w:tcMar>
          </w:tcPr>
          <w:p>
            <w:pPr>
              <w:spacing w:after="60" w:before="40"/>
            </w:pPr>
            <w:r>
              <w:rPr>
                <w:b w:val="0"/>
                <w:color w:val="000000"/>
                <w:sz w:val="18"/>
              </w:rPr>
              <w:t>Licence Administrator; No automatic directory write</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Gov.IdentityReviewer</w:t>
            </w:r>
          </w:p>
        </w:tc>
        <w:tc>
          <w:tcPr>
            <w:tcW w:type="dxa" w:w="6768"/>
            <w:vAlign w:val="center"/>
            <w:shd w:fill="FFFFFF"/>
            <w:tcMar>
              <w:top w:w="70" w:type="dxa"/>
              <w:left w:w="70" w:type="dxa"/>
              <w:bottom w:w="70" w:type="dxa"/>
              <w:right w:w="70" w:type="dxa"/>
            </w:tcMar>
          </w:tcPr>
          <w:p>
            <w:pPr>
              <w:spacing w:after="60" w:before="40"/>
            </w:pPr>
            <w:r>
              <w:rPr>
                <w:b w:val="0"/>
                <w:color w:val="000000"/>
                <w:sz w:val="18"/>
              </w:rPr>
              <w:t>Identity Governance Reviewer; No standing account mutation</w:t>
            </w:r>
          </w:p>
        </w:tc>
      </w:tr>
      <w:tr>
        <w:trPr>
          <w:cantSplit/>
        </w:trPr>
        <w:tc>
          <w:tcPr>
            <w:tcW w:type="dxa" w:w="3024"/>
            <w:vAlign w:val="center"/>
            <w:shd w:fill="F0F4F7"/>
            <w:tcMar>
              <w:top w:w="70" w:type="dxa"/>
              <w:left w:w="70" w:type="dxa"/>
              <w:bottom w:w="70" w:type="dxa"/>
              <w:right w:w="70" w:type="dxa"/>
            </w:tcMar>
          </w:tcPr>
          <w:p>
            <w:pPr>
              <w:spacing w:after="60" w:before="40"/>
            </w:pPr>
            <w:r>
              <w:rPr>
                <w:b w:val="0"/>
                <w:color w:val="000000"/>
                <w:sz w:val="18"/>
              </w:rPr>
              <w:t>Gov.DevOpsReviewer</w:t>
            </w:r>
          </w:p>
        </w:tc>
        <w:tc>
          <w:tcPr>
            <w:tcW w:type="dxa" w:w="6768"/>
            <w:vAlign w:val="center"/>
            <w:shd w:fill="F0F4F7"/>
            <w:tcMar>
              <w:top w:w="70" w:type="dxa"/>
              <w:left w:w="70" w:type="dxa"/>
              <w:bottom w:w="70" w:type="dxa"/>
              <w:right w:w="70" w:type="dxa"/>
            </w:tcMar>
          </w:tcPr>
          <w:p>
            <w:pPr>
              <w:spacing w:after="60" w:before="40"/>
            </w:pPr>
            <w:r>
              <w:rPr>
                <w:b w:val="0"/>
                <w:color w:val="000000"/>
                <w:sz w:val="18"/>
              </w:rPr>
              <w:t>DevOps Governance Reviewer; No project admin rights</w:t>
            </w:r>
          </w:p>
        </w:tc>
      </w:tr>
      <w:tr>
        <w:trPr>
          <w:cantSplit/>
        </w:trPr>
        <w:tc>
          <w:tcPr>
            <w:tcW w:type="dxa" w:w="3024"/>
            <w:vAlign w:val="center"/>
            <w:shd w:fill="FFFFFF"/>
            <w:tcMar>
              <w:top w:w="70" w:type="dxa"/>
              <w:left w:w="70" w:type="dxa"/>
              <w:bottom w:w="70" w:type="dxa"/>
              <w:right w:w="70" w:type="dxa"/>
            </w:tcMar>
          </w:tcPr>
          <w:p>
            <w:pPr>
              <w:spacing w:after="60" w:before="40"/>
            </w:pPr>
            <w:r>
              <w:rPr>
                <w:b w:val="0"/>
                <w:color w:val="000000"/>
                <w:sz w:val="18"/>
              </w:rPr>
              <w:t>Executive.FinanceViewer</w:t>
            </w:r>
          </w:p>
        </w:tc>
        <w:tc>
          <w:tcPr>
            <w:tcW w:type="dxa" w:w="6768"/>
            <w:vAlign w:val="center"/>
            <w:shd w:fill="FFFFFF"/>
            <w:tcMar>
              <w:top w:w="70" w:type="dxa"/>
              <w:left w:w="70" w:type="dxa"/>
              <w:bottom w:w="70" w:type="dxa"/>
              <w:right w:w="70" w:type="dxa"/>
            </w:tcMar>
          </w:tcPr>
          <w:p>
            <w:pPr>
              <w:spacing w:after="60" w:before="40"/>
            </w:pPr>
            <w:r>
              <w:rPr>
                <w:b w:val="0"/>
                <w:color w:val="000000"/>
                <w:sz w:val="18"/>
              </w:rPr>
              <w:t>Executive Finance Viewer; No named activity detail by default</w:t>
            </w:r>
          </w:p>
        </w:tc>
      </w:tr>
    </w:tbl>
    <w:p>
      <w:bookmarkStart w:id="127" w:name="orca_ch_127"/>
      <w:pPr>
        <w:pStyle w:val="LegacyHead2_Heading1"/>
      </w:pPr>
      <w:r>
        <w:t>Carried forward findings and traceability 3</w:t>
      </w:r>
      <w:bookmarkEnd w:id="127"/>
    </w:p>
    <w:p>
      <w:r>
        <w:t>Retained finding and evidence identifiers from the detailed v5 baseline. A historical “Resolved” or “Verified” disposition describes that source review, not current implementation completion or a fresh API capability check. Current 23-engine scope and confirmed decisions govern any older labels. No missing finding is invented to fill a numbering gap.</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2448"/>
        <w:gridCol w:w="6120"/>
      </w:tblGrid>
      <w:tr>
        <w:trPr>
          <w:cantSplit/>
          <w:tblHeader/>
        </w:trPr>
        <w:tc>
          <w:tcPr>
            <w:tcW w:type="dxa" w:w="1224"/>
            <w:vAlign w:val="center"/>
            <w:shd w:fill="243E53"/>
            <w:tcMar>
              <w:top w:w="70" w:type="dxa"/>
              <w:left w:w="70" w:type="dxa"/>
              <w:bottom w:w="70" w:type="dxa"/>
              <w:right w:w="70" w:type="dxa"/>
            </w:tcMar>
          </w:tcPr>
          <w:p>
            <w:pPr>
              <w:spacing w:after="60" w:before="40"/>
            </w:pPr>
            <w:r>
              <w:rPr>
                <w:b/>
                <w:color w:val="FFFFFF"/>
                <w:sz w:val="18"/>
              </w:rPr>
              <w:t>Decision</w:t>
            </w:r>
          </w:p>
        </w:tc>
        <w:tc>
          <w:tcPr>
            <w:tcW w:type="dxa" w:w="2448"/>
            <w:vAlign w:val="center"/>
            <w:shd w:fill="243E53"/>
            <w:tcMar>
              <w:top w:w="70" w:type="dxa"/>
              <w:left w:w="70" w:type="dxa"/>
              <w:bottom w:w="70" w:type="dxa"/>
              <w:right w:w="70" w:type="dxa"/>
            </w:tcMar>
          </w:tcPr>
          <w:p>
            <w:pPr>
              <w:spacing w:after="60" w:before="40"/>
            </w:pPr>
            <w:r>
              <w:rPr>
                <w:b/>
                <w:color w:val="FFFFFF"/>
                <w:sz w:val="18"/>
              </w:rPr>
              <w:t>Status</w:t>
            </w:r>
          </w:p>
        </w:tc>
        <w:tc>
          <w:tcPr>
            <w:tcW w:type="dxa" w:w="6120"/>
            <w:vAlign w:val="center"/>
            <w:shd w:fill="243E53"/>
            <w:tcMar>
              <w:top w:w="70" w:type="dxa"/>
              <w:left w:w="70" w:type="dxa"/>
              <w:bottom w:w="70" w:type="dxa"/>
              <w:right w:w="70" w:type="dxa"/>
            </w:tcMar>
          </w:tcPr>
          <w:p>
            <w:pPr>
              <w:spacing w:after="60" w:before="40"/>
            </w:pPr>
            <w:r>
              <w:rPr>
                <w:b/>
                <w:color w:val="FFFFFF"/>
                <w:sz w:val="18"/>
              </w:rPr>
              <w:t>Delivery gate</w:t>
            </w:r>
          </w:p>
        </w:tc>
      </w:tr>
      <w:tr>
        <w:trPr>
          <w:cantSplit/>
        </w:trPr>
        <w:tc>
          <w:tcPr>
            <w:tcW w:type="dxa" w:w="1224"/>
            <w:vAlign w:val="center"/>
            <w:shd w:fill="F0F4F7"/>
            <w:tcMar>
              <w:top w:w="70" w:type="dxa"/>
              <w:left w:w="70" w:type="dxa"/>
              <w:bottom w:w="70" w:type="dxa"/>
              <w:right w:w="70" w:type="dxa"/>
            </w:tcMar>
          </w:tcPr>
          <w:p>
            <w:pPr>
              <w:spacing w:after="60" w:before="40"/>
            </w:pPr>
            <w:r>
              <w:rPr>
                <w:b w:val="0"/>
                <w:color w:val="000000"/>
                <w:sz w:val="18"/>
              </w:rPr>
              <w:t>V5-D01</w:t>
            </w:r>
          </w:p>
        </w:tc>
        <w:tc>
          <w:tcPr>
            <w:tcW w:type="dxa" w:w="2448"/>
            <w:vAlign w:val="center"/>
            <w:shd w:fill="F0F4F7"/>
            <w:tcMar>
              <w:top w:w="70" w:type="dxa"/>
              <w:left w:w="70" w:type="dxa"/>
              <w:bottom w:w="70" w:type="dxa"/>
              <w:right w:w="70" w:type="dxa"/>
            </w:tcMar>
          </w:tcPr>
          <w:p>
            <w:pPr>
              <w:spacing w:after="60" w:before="40"/>
            </w:pPr>
            <w:r>
              <w:rPr>
                <w:b w:val="0"/>
                <w:color w:val="000000"/>
                <w:sz w:val="18"/>
              </w:rPr>
              <w:t>Pending implementation approval</w:t>
            </w:r>
          </w:p>
        </w:tc>
        <w:tc>
          <w:tcPr>
            <w:tcW w:type="dxa" w:w="6120"/>
            <w:vAlign w:val="center"/>
            <w:shd w:fill="F0F4F7"/>
            <w:tcMar>
              <w:top w:w="70" w:type="dxa"/>
              <w:left w:w="70" w:type="dxa"/>
              <w:bottom w:w="70" w:type="dxa"/>
              <w:right w:w="70" w:type="dxa"/>
            </w:tcMar>
          </w:tcPr>
          <w:p>
            <w:pPr>
              <w:spacing w:after="60" w:before="40"/>
            </w:pPr>
            <w:r>
              <w:rPr>
                <w:b w:val="0"/>
                <w:color w:val="000000"/>
                <w:sz w:val="18"/>
              </w:rPr>
              <w:t>SOC-D050 S1; Operator per-tenant credential isolation versus control credential reuse. Recommend database-scoped credentials or bounded cohorts with measured project limits; broad control credentials increase blast radius.</w:t>
            </w:r>
          </w:p>
        </w:tc>
      </w:tr>
      <w:tr>
        <w:trPr>
          <w:cantSplit/>
        </w:trPr>
        <w:tc>
          <w:tcPr>
            <w:tcW w:type="dxa" w:w="1224"/>
            <w:vAlign w:val="center"/>
            <w:shd w:fill="FFFFFF"/>
            <w:tcMar>
              <w:top w:w="70" w:type="dxa"/>
              <w:left w:w="70" w:type="dxa"/>
              <w:bottom w:w="70" w:type="dxa"/>
              <w:right w:w="70" w:type="dxa"/>
            </w:tcMar>
          </w:tcPr>
          <w:p>
            <w:pPr>
              <w:spacing w:after="60" w:before="40"/>
            </w:pPr>
            <w:r>
              <w:rPr>
                <w:b w:val="0"/>
                <w:color w:val="000000"/>
                <w:sz w:val="18"/>
              </w:rPr>
              <w:t>V5-D02</w:t>
            </w:r>
          </w:p>
        </w:tc>
        <w:tc>
          <w:tcPr>
            <w:tcW w:type="dxa" w:w="2448"/>
            <w:vAlign w:val="center"/>
            <w:shd w:fill="FFFFFF"/>
            <w:tcMar>
              <w:top w:w="70" w:type="dxa"/>
              <w:left w:w="70" w:type="dxa"/>
              <w:bottom w:w="70" w:type="dxa"/>
              <w:right w:w="70" w:type="dxa"/>
            </w:tcMar>
          </w:tcPr>
          <w:p>
            <w:pPr>
              <w:spacing w:after="60" w:before="40"/>
            </w:pPr>
            <w:r>
              <w:rPr>
                <w:b w:val="0"/>
                <w:color w:val="000000"/>
                <w:sz w:val="18"/>
              </w:rPr>
              <w:t>Pending implementation approval</w:t>
            </w:r>
          </w:p>
        </w:tc>
        <w:tc>
          <w:tcPr>
            <w:tcW w:type="dxa" w:w="6120"/>
            <w:vAlign w:val="center"/>
            <w:shd w:fill="FFFFFF"/>
            <w:tcMar>
              <w:top w:w="70" w:type="dxa"/>
              <w:left w:w="70" w:type="dxa"/>
              <w:bottom w:w="70" w:type="dxa"/>
              <w:right w:w="70" w:type="dxa"/>
            </w:tcMar>
          </w:tcPr>
          <w:p>
            <w:pPr>
              <w:spacing w:after="60" w:before="40"/>
            </w:pPr>
            <w:r>
              <w:rPr>
                <w:b w:val="0"/>
                <w:color w:val="000000"/>
                <w:sz w:val="18"/>
              </w:rPr>
              <w:t>SOC-D050 to D059; Exact audit export seal format registry mirror behaviour marker lifecycle quarantine recovery and minimal registry approval defaults. Required outcomes are immutable external audit and no unsafe customer restore.</w:t>
            </w:r>
          </w:p>
        </w:tc>
      </w:tr>
      <w:tr>
        <w:trPr>
          <w:cantSplit/>
        </w:trPr>
        <w:tc>
          <w:tcPr>
            <w:tcW w:type="dxa" w:w="1224"/>
            <w:vAlign w:val="center"/>
            <w:shd w:fill="F0F4F7"/>
            <w:tcMar>
              <w:top w:w="70" w:type="dxa"/>
              <w:left w:w="70" w:type="dxa"/>
              <w:bottom w:w="70" w:type="dxa"/>
              <w:right w:w="70" w:type="dxa"/>
            </w:tcMar>
          </w:tcPr>
          <w:p>
            <w:pPr>
              <w:spacing w:after="60" w:before="40"/>
            </w:pPr>
            <w:r>
              <w:rPr>
                <w:b w:val="0"/>
                <w:color w:val="000000"/>
                <w:sz w:val="18"/>
              </w:rPr>
              <w:t>V5-D03</w:t>
            </w:r>
          </w:p>
        </w:tc>
        <w:tc>
          <w:tcPr>
            <w:tcW w:type="dxa" w:w="2448"/>
            <w:vAlign w:val="center"/>
            <w:shd w:fill="F0F4F7"/>
            <w:tcMar>
              <w:top w:w="70" w:type="dxa"/>
              <w:left w:w="70" w:type="dxa"/>
              <w:bottom w:w="70" w:type="dxa"/>
              <w:right w:w="70" w:type="dxa"/>
            </w:tcMar>
          </w:tcPr>
          <w:p>
            <w:pPr>
              <w:spacing w:after="60" w:before="40"/>
            </w:pPr>
            <w:r>
              <w:rPr>
                <w:b w:val="0"/>
                <w:color w:val="000000"/>
                <w:sz w:val="18"/>
              </w:rPr>
              <w:t>Open sizing and service targets</w:t>
            </w:r>
          </w:p>
        </w:tc>
        <w:tc>
          <w:tcPr>
            <w:tcW w:type="dxa" w:w="6120"/>
            <w:vAlign w:val="center"/>
            <w:shd w:fill="F0F4F7"/>
            <w:tcMar>
              <w:top w:w="70" w:type="dxa"/>
              <w:left w:w="70" w:type="dxa"/>
              <w:bottom w:w="70" w:type="dxa"/>
              <w:right w:w="70" w:type="dxa"/>
            </w:tcMar>
          </w:tcPr>
          <w:p>
            <w:pPr>
              <w:spacing w:after="60" w:before="40"/>
            </w:pPr>
            <w:r>
              <w:rPr>
                <w:b w:val="0"/>
                <w:color w:val="000000"/>
                <w:sz w:val="18"/>
              </w:rPr>
              <w:t>F-14 F-18 SOC-D017; Measure pools namespaces engine memory Qdrant recovery and browser latency. Operator RTO 4h/RPO 15m target requires evidence; customer backup terms and service-level commitments remain separately approved.</w:t>
            </w:r>
          </w:p>
        </w:tc>
      </w:tr>
      <w:tr>
        <w:trPr>
          <w:cantSplit/>
        </w:trPr>
        <w:tc>
          <w:tcPr>
            <w:tcW w:type="dxa" w:w="1224"/>
            <w:vAlign w:val="center"/>
            <w:shd w:fill="FFFFFF"/>
            <w:tcMar>
              <w:top w:w="70" w:type="dxa"/>
              <w:left w:w="70" w:type="dxa"/>
              <w:bottom w:w="70" w:type="dxa"/>
              <w:right w:w="70" w:type="dxa"/>
            </w:tcMar>
          </w:tcPr>
          <w:p>
            <w:pPr>
              <w:spacing w:after="60" w:before="40"/>
            </w:pPr>
            <w:r>
              <w:rPr>
                <w:b w:val="0"/>
                <w:color w:val="000000"/>
                <w:sz w:val="18"/>
              </w:rPr>
              <w:t>V5-D04</w:t>
            </w:r>
          </w:p>
        </w:tc>
        <w:tc>
          <w:tcPr>
            <w:tcW w:type="dxa" w:w="2448"/>
            <w:vAlign w:val="center"/>
            <w:shd w:fill="FFFFFF"/>
            <w:tcMar>
              <w:top w:w="70" w:type="dxa"/>
              <w:left w:w="70" w:type="dxa"/>
              <w:bottom w:w="70" w:type="dxa"/>
              <w:right w:w="70" w:type="dxa"/>
            </w:tcMar>
          </w:tcPr>
          <w:p>
            <w:pPr>
              <w:spacing w:after="60" w:before="40"/>
            </w:pPr>
            <w:r>
              <w:rPr>
                <w:b w:val="0"/>
                <w:color w:val="000000"/>
                <w:sz w:val="18"/>
              </w:rPr>
              <w:t>Proposed transport default</w:t>
            </w:r>
          </w:p>
        </w:tc>
        <w:tc>
          <w:tcPr>
            <w:tcW w:type="dxa" w:w="6120"/>
            <w:vAlign w:val="center"/>
            <w:shd w:fill="FFFFFF"/>
            <w:tcMar>
              <w:top w:w="70" w:type="dxa"/>
              <w:left w:w="70" w:type="dxa"/>
              <w:bottom w:w="70" w:type="dxa"/>
              <w:right w:w="70" w:type="dxa"/>
            </w:tcMar>
          </w:tcPr>
          <w:p>
            <w:pPr>
              <w:spacing w:after="60" w:before="40"/>
            </w:pPr>
            <w:r>
              <w:rPr>
                <w:b w:val="0"/>
                <w:color w:val="000000"/>
                <w:sz w:val="18"/>
              </w:rPr>
              <w:t>F-17 SOC-D054 D065; Mongo ordered outbox Hangfire Reader jobs Executor timed dispatch, no Service Bus initially. Benchmark burst latency and failure modes before freezing the deployment.</w:t>
            </w:r>
          </w:p>
        </w:tc>
      </w:tr>
      <w:tr>
        <w:trPr>
          <w:cantSplit/>
        </w:trPr>
        <w:tc>
          <w:tcPr>
            <w:tcW w:type="dxa" w:w="1224"/>
            <w:vAlign w:val="center"/>
            <w:shd w:fill="F0F4F7"/>
            <w:tcMar>
              <w:top w:w="70" w:type="dxa"/>
              <w:left w:w="70" w:type="dxa"/>
              <w:bottom w:w="70" w:type="dxa"/>
              <w:right w:w="70" w:type="dxa"/>
            </w:tcMar>
          </w:tcPr>
          <w:p>
            <w:pPr>
              <w:spacing w:after="60" w:before="40"/>
            </w:pPr>
            <w:r>
              <w:rPr>
                <w:b w:val="0"/>
                <w:color w:val="000000"/>
                <w:sz w:val="18"/>
              </w:rPr>
              <w:t>V5-D05</w:t>
            </w:r>
          </w:p>
        </w:tc>
        <w:tc>
          <w:tcPr>
            <w:tcW w:type="dxa" w:w="2448"/>
            <w:vAlign w:val="center"/>
            <w:shd w:fill="F0F4F7"/>
            <w:tcMar>
              <w:top w:w="70" w:type="dxa"/>
              <w:left w:w="70" w:type="dxa"/>
              <w:bottom w:w="70" w:type="dxa"/>
              <w:right w:w="70" w:type="dxa"/>
            </w:tcMar>
          </w:tcPr>
          <w:p>
            <w:pPr>
              <w:spacing w:after="60" w:before="40"/>
            </w:pPr>
            <w:r>
              <w:rPr>
                <w:b w:val="0"/>
                <w:color w:val="000000"/>
                <w:sz w:val="18"/>
              </w:rPr>
              <w:t>Pending structural approval</w:t>
            </w:r>
          </w:p>
        </w:tc>
        <w:tc>
          <w:tcPr>
            <w:tcW w:type="dxa" w:w="6120"/>
            <w:vAlign w:val="center"/>
            <w:shd w:fill="F0F4F7"/>
            <w:tcMar>
              <w:top w:w="70" w:type="dxa"/>
              <w:left w:w="70" w:type="dxa"/>
              <w:bottom w:w="70" w:type="dxa"/>
              <w:right w:w="70" w:type="dxa"/>
            </w:tcMar>
          </w:tcPr>
          <w:p>
            <w:pPr>
              <w:spacing w:after="60" w:before="40"/>
            </w:pPr>
            <w:r>
              <w:rPr>
                <w:b w:val="0"/>
                <w:color w:val="000000"/>
                <w:sz w:val="18"/>
              </w:rPr>
              <w:t>SOC-D054 D063 D065; Intent/Outcome canonical serializer projection and parameter hashes contract version rules rollback counters proof retention 400 days and Undetermined terminal policy. These are defaults in the source, not reported Ashwin approvals.</w:t>
            </w:r>
          </w:p>
        </w:tc>
      </w:tr>
      <w:tr>
        <w:trPr>
          <w:cantSplit/>
        </w:trPr>
        <w:tc>
          <w:tcPr>
            <w:tcW w:type="dxa" w:w="1224"/>
            <w:vAlign w:val="center"/>
            <w:shd w:fill="FFFFFF"/>
            <w:tcMar>
              <w:top w:w="70" w:type="dxa"/>
              <w:left w:w="70" w:type="dxa"/>
              <w:bottom w:w="70" w:type="dxa"/>
              <w:right w:w="70" w:type="dxa"/>
            </w:tcMar>
          </w:tcPr>
          <w:p>
            <w:pPr>
              <w:spacing w:after="60" w:before="40"/>
            </w:pPr>
            <w:r>
              <w:rPr>
                <w:b w:val="0"/>
                <w:color w:val="000000"/>
                <w:sz w:val="18"/>
              </w:rPr>
              <w:t>V5-D06</w:t>
            </w:r>
          </w:p>
        </w:tc>
        <w:tc>
          <w:tcPr>
            <w:tcW w:type="dxa" w:w="2448"/>
            <w:vAlign w:val="center"/>
            <w:shd w:fill="FFFFFF"/>
            <w:tcMar>
              <w:top w:w="70" w:type="dxa"/>
              <w:left w:w="70" w:type="dxa"/>
              <w:bottom w:w="70" w:type="dxa"/>
              <w:right w:w="70" w:type="dxa"/>
            </w:tcMar>
          </w:tcPr>
          <w:p>
            <w:pPr>
              <w:spacing w:after="60" w:before="40"/>
            </w:pPr>
            <w:r>
              <w:rPr>
                <w:b w:val="0"/>
                <w:color w:val="000000"/>
                <w:sz w:val="18"/>
              </w:rPr>
              <w:t>Pending structural approval</w:t>
            </w:r>
          </w:p>
        </w:tc>
        <w:tc>
          <w:tcPr>
            <w:tcW w:type="dxa" w:w="6120"/>
            <w:vAlign w:val="center"/>
            <w:shd w:fill="FFFFFF"/>
            <w:tcMar>
              <w:top w:w="70" w:type="dxa"/>
              <w:left w:w="70" w:type="dxa"/>
              <w:bottom w:w="70" w:type="dxa"/>
              <w:right w:w="70" w:type="dxa"/>
            </w:tcMar>
          </w:tcPr>
          <w:p>
            <w:pPr>
              <w:spacing w:after="60" w:before="40"/>
            </w:pPr>
            <w:r>
              <w:rPr>
                <w:b w:val="0"/>
                <w:color w:val="000000"/>
                <w:sz w:val="18"/>
              </w:rPr>
              <w:t>SOC-D061 D062 D064; Request-derived identity and signed requester jobs are mandatory safety outcomes. Exact sign-in handler sync collection schema 180-minute offline membership limit and degraded sign-in record queue are source defaults requiring review.</w:t>
            </w:r>
          </w:p>
        </w:tc>
      </w:tr>
      <w:tr>
        <w:trPr>
          <w:cantSplit/>
        </w:trPr>
        <w:tc>
          <w:tcPr>
            <w:tcW w:type="dxa" w:w="1224"/>
            <w:vAlign w:val="center"/>
            <w:shd w:fill="F0F4F7"/>
            <w:tcMar>
              <w:top w:w="70" w:type="dxa"/>
              <w:left w:w="70" w:type="dxa"/>
              <w:bottom w:w="70" w:type="dxa"/>
              <w:right w:w="70" w:type="dxa"/>
            </w:tcMar>
          </w:tcPr>
          <w:p>
            <w:pPr>
              <w:spacing w:after="60" w:before="40"/>
            </w:pPr>
            <w:r>
              <w:rPr>
                <w:b w:val="0"/>
                <w:color w:val="000000"/>
                <w:sz w:val="18"/>
              </w:rPr>
              <w:t>V5-D07</w:t>
            </w:r>
          </w:p>
        </w:tc>
        <w:tc>
          <w:tcPr>
            <w:tcW w:type="dxa" w:w="2448"/>
            <w:vAlign w:val="center"/>
            <w:shd w:fill="F0F4F7"/>
            <w:tcMar>
              <w:top w:w="70" w:type="dxa"/>
              <w:left w:w="70" w:type="dxa"/>
              <w:bottom w:w="70" w:type="dxa"/>
              <w:right w:w="70" w:type="dxa"/>
            </w:tcMar>
          </w:tcPr>
          <w:p>
            <w:pPr>
              <w:spacing w:after="60" w:before="40"/>
            </w:pPr>
            <w:r>
              <w:rPr>
                <w:b w:val="0"/>
                <w:color w:val="000000"/>
                <w:sz w:val="18"/>
              </w:rPr>
              <w:t>Open AI quality and networking</w:t>
            </w:r>
          </w:p>
        </w:tc>
        <w:tc>
          <w:tcPr>
            <w:tcW w:type="dxa" w:w="6120"/>
            <w:vAlign w:val="center"/>
            <w:shd w:fill="F0F4F7"/>
            <w:tcMar>
              <w:top w:w="70" w:type="dxa"/>
              <w:left w:w="70" w:type="dxa"/>
              <w:bottom w:w="70" w:type="dxa"/>
              <w:right w:w="70" w:type="dxa"/>
            </w:tcMar>
          </w:tcPr>
          <w:p>
            <w:pPr>
              <w:spacing w:after="60" w:before="40"/>
            </w:pPr>
            <w:r>
              <w:rPr>
                <w:b w:val="0"/>
                <w:color w:val="000000"/>
                <w:sz w:val="18"/>
              </w:rPr>
              <w:t>F-32 F-33 SOC-D029 D034; Approve evaluation case count and quality thresholds model versions local hardware private path streaming limits and two-container/two-cluster evidence before M10 pilot.</w:t>
            </w:r>
          </w:p>
        </w:tc>
      </w:tr>
      <w:tr>
        <w:trPr>
          <w:cantSplit/>
        </w:trPr>
        <w:tc>
          <w:tcPr>
            <w:tcW w:type="dxa" w:w="1224"/>
            <w:vAlign w:val="center"/>
            <w:shd w:fill="FFFFFF"/>
            <w:tcMar>
              <w:top w:w="70" w:type="dxa"/>
              <w:left w:w="70" w:type="dxa"/>
              <w:bottom w:w="70" w:type="dxa"/>
              <w:right w:w="70" w:type="dxa"/>
            </w:tcMar>
          </w:tcPr>
          <w:p>
            <w:pPr>
              <w:spacing w:after="60" w:before="40"/>
            </w:pPr>
            <w:r>
              <w:rPr>
                <w:b w:val="0"/>
                <w:color w:val="000000"/>
                <w:sz w:val="18"/>
              </w:rPr>
              <w:t>V5-D08</w:t>
            </w:r>
          </w:p>
        </w:tc>
        <w:tc>
          <w:tcPr>
            <w:tcW w:type="dxa" w:w="2448"/>
            <w:vAlign w:val="center"/>
            <w:shd w:fill="FFFFFF"/>
            <w:tcMar>
              <w:top w:w="70" w:type="dxa"/>
              <w:left w:w="70" w:type="dxa"/>
              <w:bottom w:w="70" w:type="dxa"/>
              <w:right w:w="70" w:type="dxa"/>
            </w:tcMar>
          </w:tcPr>
          <w:p>
            <w:pPr>
              <w:spacing w:after="60" w:before="40"/>
            </w:pPr>
            <w:r>
              <w:rPr>
                <w:b w:val="0"/>
                <w:color w:val="000000"/>
                <w:sz w:val="18"/>
              </w:rPr>
              <w:t>Reported built not independently verified</w:t>
            </w:r>
          </w:p>
        </w:tc>
        <w:tc>
          <w:tcPr>
            <w:tcW w:type="dxa" w:w="6120"/>
            <w:vAlign w:val="center"/>
            <w:shd w:fill="FFFFFF"/>
            <w:tcMar>
              <w:top w:w="70" w:type="dxa"/>
              <w:left w:w="70" w:type="dxa"/>
              <w:bottom w:w="70" w:type="dxa"/>
              <w:right w:w="70" w:type="dxa"/>
            </w:tcMar>
          </w:tcPr>
          <w:p>
            <w:pPr>
              <w:spacing w:after="60" w:before="40"/>
            </w:pPr>
            <w:r>
              <w:rPr>
                <w:b w:val="0"/>
                <w:color w:val="000000"/>
                <w:sz w:val="18"/>
              </w:rPr>
              <w:t>SOC-D034 D042 D060; Obtain F1 F2 engine package source hashes review reports and test evidence. Do not mark production milestone accepted from the reported local gate counts.</w:t>
            </w:r>
          </w:p>
        </w:tc>
      </w:tr>
      <w:tr>
        <w:trPr>
          <w:cantSplit/>
        </w:trPr>
        <w:tc>
          <w:tcPr>
            <w:tcW w:type="dxa" w:w="1224"/>
            <w:vAlign w:val="center"/>
            <w:shd w:fill="F0F4F7"/>
            <w:tcMar>
              <w:top w:w="70" w:type="dxa"/>
              <w:left w:w="70" w:type="dxa"/>
              <w:bottom w:w="70" w:type="dxa"/>
              <w:right w:w="70" w:type="dxa"/>
            </w:tcMar>
          </w:tcPr>
          <w:p>
            <w:pPr>
              <w:spacing w:after="60" w:before="40"/>
            </w:pPr>
            <w:r>
              <w:rPr>
                <w:b w:val="0"/>
                <w:color w:val="000000"/>
                <w:sz w:val="18"/>
              </w:rPr>
              <w:t>V5-D09</w:t>
            </w:r>
          </w:p>
        </w:tc>
        <w:tc>
          <w:tcPr>
            <w:tcW w:type="dxa" w:w="2448"/>
            <w:vAlign w:val="center"/>
            <w:shd w:fill="F0F4F7"/>
            <w:tcMar>
              <w:top w:w="70" w:type="dxa"/>
              <w:left w:w="70" w:type="dxa"/>
              <w:bottom w:w="70" w:type="dxa"/>
              <w:right w:w="70" w:type="dxa"/>
            </w:tcMar>
          </w:tcPr>
          <w:p>
            <w:pPr>
              <w:spacing w:after="60" w:before="40"/>
            </w:pPr>
            <w:r>
              <w:rPr>
                <w:b w:val="0"/>
                <w:color w:val="000000"/>
                <w:sz w:val="18"/>
              </w:rPr>
              <w:t>Confirmed sequence with phased features</w:t>
            </w:r>
          </w:p>
        </w:tc>
        <w:tc>
          <w:tcPr>
            <w:tcW w:type="dxa" w:w="6120"/>
            <w:vAlign w:val="center"/>
            <w:shd w:fill="F0F4F7"/>
            <w:tcMar>
              <w:top w:w="70" w:type="dxa"/>
              <w:left w:w="70" w:type="dxa"/>
              <w:bottom w:w="70" w:type="dxa"/>
              <w:right w:w="70" w:type="dxa"/>
            </w:tcMar>
          </w:tcPr>
          <w:p>
            <w:pPr>
              <w:spacing w:after="60" w:before="40"/>
            </w:pPr>
            <w:r>
              <w:rPr>
                <w:b w:val="0"/>
                <w:color w:val="000000"/>
                <w:sz w:val="18"/>
              </w:rPr>
              <w:t>Latest conversation; SOC-D021; Cost scores licensing and dashboards first; Sentinel first only in incident phase. Local AI first web research later; cross-customer dashboards later without dropping scope.</w:t>
            </w:r>
          </w:p>
        </w:tc>
      </w:tr>
      <w:tr>
        <w:trPr>
          <w:cantSplit/>
        </w:trPr>
        <w:tc>
          <w:tcPr>
            <w:tcW w:type="dxa" w:w="1224"/>
            <w:vAlign w:val="center"/>
            <w:shd w:fill="FFFFFF"/>
            <w:tcMar>
              <w:top w:w="70" w:type="dxa"/>
              <w:left w:w="70" w:type="dxa"/>
              <w:bottom w:w="70" w:type="dxa"/>
              <w:right w:w="70" w:type="dxa"/>
            </w:tcMar>
          </w:tcPr>
          <w:p>
            <w:pPr>
              <w:spacing w:after="60" w:before="40"/>
            </w:pPr>
            <w:r>
              <w:rPr>
                <w:b w:val="0"/>
                <w:color w:val="000000"/>
                <w:sz w:val="18"/>
              </w:rPr>
              <w:t>V5-D10</w:t>
            </w:r>
          </w:p>
        </w:tc>
        <w:tc>
          <w:tcPr>
            <w:tcW w:type="dxa" w:w="2448"/>
            <w:vAlign w:val="center"/>
            <w:shd w:fill="FFFFFF"/>
            <w:tcMar>
              <w:top w:w="70" w:type="dxa"/>
              <w:left w:w="70" w:type="dxa"/>
              <w:bottom w:w="70" w:type="dxa"/>
              <w:right w:w="70" w:type="dxa"/>
            </w:tcMar>
          </w:tcPr>
          <w:p>
            <w:pPr>
              <w:spacing w:after="60" w:before="40"/>
            </w:pPr>
            <w:r>
              <w:rPr>
                <w:b w:val="0"/>
                <w:color w:val="000000"/>
                <w:sz w:val="18"/>
              </w:rPr>
              <w:t>Confirmed application policy</w:t>
            </w:r>
          </w:p>
        </w:tc>
        <w:tc>
          <w:tcPr>
            <w:tcW w:type="dxa" w:w="6120"/>
            <w:vAlign w:val="center"/>
            <w:shd w:fill="FFFFFF"/>
            <w:tcMar>
              <w:top w:w="70" w:type="dxa"/>
              <w:left w:w="70" w:type="dxa"/>
              <w:bottom w:w="70" w:type="dxa"/>
              <w:right w:w="70" w:type="dxa"/>
            </w:tcMar>
          </w:tcPr>
          <w:p>
            <w:pPr>
              <w:spacing w:after="60" w:before="40"/>
            </w:pPr>
            <w:r>
              <w:rPr>
                <w:b w:val="0"/>
                <w:color w:val="000000"/>
                <w:sz w:val="18"/>
              </w:rPr>
              <w:t>SOC-D018 D044; latest conversation; MIT UI component code; unmodified Apache/OFL bundled assets allowed; non-UI commercially usable package policy and notices recorded. Hosted MongoDB Atlas and Qdrant infrastructure remain allowed.</w:t>
            </w:r>
          </w:p>
        </w:tc>
      </w:tr>
      <w:tr>
        <w:trPr>
          <w:cantSplit/>
        </w:trPr>
        <w:tc>
          <w:tcPr>
            <w:tcW w:type="dxa" w:w="1224"/>
            <w:vAlign w:val="center"/>
            <w:shd w:fill="F0F4F7"/>
            <w:tcMar>
              <w:top w:w="70" w:type="dxa"/>
              <w:left w:w="70" w:type="dxa"/>
              <w:bottom w:w="70" w:type="dxa"/>
              <w:right w:w="70" w:type="dxa"/>
            </w:tcMar>
          </w:tcPr>
          <w:p>
            <w:pPr>
              <w:spacing w:after="60" w:before="40"/>
            </w:pPr>
            <w:r>
              <w:rPr>
                <w:b w:val="0"/>
                <w:color w:val="000000"/>
                <w:sz w:val="18"/>
              </w:rPr>
              <w:t>V5-D11</w:t>
            </w:r>
          </w:p>
        </w:tc>
        <w:tc>
          <w:tcPr>
            <w:tcW w:type="dxa" w:w="2448"/>
            <w:vAlign w:val="center"/>
            <w:shd w:fill="F0F4F7"/>
            <w:tcMar>
              <w:top w:w="70" w:type="dxa"/>
              <w:left w:w="70" w:type="dxa"/>
              <w:bottom w:w="70" w:type="dxa"/>
              <w:right w:w="70" w:type="dxa"/>
            </w:tcMar>
          </w:tcPr>
          <w:p>
            <w:pPr>
              <w:spacing w:after="60" w:before="40"/>
            </w:pPr>
            <w:r>
              <w:rPr>
                <w:b w:val="0"/>
                <w:color w:val="000000"/>
                <w:sz w:val="18"/>
              </w:rPr>
              <w:t>Open reuse intake</w:t>
            </w:r>
          </w:p>
        </w:tc>
        <w:tc>
          <w:tcPr>
            <w:tcW w:type="dxa" w:w="6120"/>
            <w:vAlign w:val="center"/>
            <w:shd w:fill="F0F4F7"/>
            <w:tcMar>
              <w:top w:w="70" w:type="dxa"/>
              <w:left w:w="70" w:type="dxa"/>
              <w:bottom w:w="70" w:type="dxa"/>
              <w:right w:w="70" w:type="dxa"/>
            </w:tcMar>
          </w:tcPr>
          <w:p>
            <w:pPr>
              <w:spacing w:after="60" w:before="40"/>
            </w:pPr>
            <w:r>
              <w:rPr>
                <w:b w:val="0"/>
                <w:color w:val="000000"/>
                <w:sz w:val="18"/>
              </w:rPr>
              <w:t>SOC-D040; study section 6; Confirm code ownership/reuse rights package provenance and exact versions from the source repositories. Keep provenance in closing reports and preserve all third-party notices; do not infer ownership from a capability report.</w:t>
            </w:r>
          </w:p>
        </w:tc>
      </w:tr>
      <w:tr>
        <w:trPr>
          <w:cantSplit/>
        </w:trPr>
        <w:tc>
          <w:tcPr>
            <w:tcW w:type="dxa" w:w="1224"/>
            <w:vAlign w:val="center"/>
            <w:shd w:fill="FFFFFF"/>
            <w:tcMar>
              <w:top w:w="70" w:type="dxa"/>
              <w:left w:w="70" w:type="dxa"/>
              <w:bottom w:w="70" w:type="dxa"/>
              <w:right w:w="70" w:type="dxa"/>
            </w:tcMar>
          </w:tcPr>
          <w:p>
            <w:pPr>
              <w:spacing w:after="60" w:before="40"/>
            </w:pPr>
            <w:r>
              <w:rPr>
                <w:b w:val="0"/>
                <w:color w:val="000000"/>
                <w:sz w:val="18"/>
              </w:rPr>
              <w:t>V5-D12</w:t>
            </w:r>
          </w:p>
        </w:tc>
        <w:tc>
          <w:tcPr>
            <w:tcW w:type="dxa" w:w="2448"/>
            <w:vAlign w:val="center"/>
            <w:shd w:fill="FFFFFF"/>
            <w:tcMar>
              <w:top w:w="70" w:type="dxa"/>
              <w:left w:w="70" w:type="dxa"/>
              <w:bottom w:w="70" w:type="dxa"/>
              <w:right w:w="70" w:type="dxa"/>
            </w:tcMar>
          </w:tcPr>
          <w:p>
            <w:pPr>
              <w:spacing w:after="60" w:before="40"/>
            </w:pPr>
            <w:r>
              <w:rPr>
                <w:b w:val="0"/>
                <w:color w:val="000000"/>
                <w:sz w:val="18"/>
              </w:rPr>
              <w:t>Pending external process evidence</w:t>
            </w:r>
          </w:p>
        </w:tc>
        <w:tc>
          <w:tcPr>
            <w:tcW w:type="dxa" w:w="6120"/>
            <w:vAlign w:val="center"/>
            <w:shd w:fill="FFFFFF"/>
            <w:tcMar>
              <w:top w:w="70" w:type="dxa"/>
              <w:left w:w="70" w:type="dxa"/>
              <w:bottom w:w="70" w:type="dxa"/>
              <w:right w:w="70" w:type="dxa"/>
            </w:tcMar>
          </w:tcPr>
          <w:p>
            <w:pPr>
              <w:spacing w:after="60" w:before="40"/>
            </w:pPr>
            <w:r>
              <w:rPr>
                <w:b w:val="0"/>
                <w:color w:val="000000"/>
                <w:sz w:val="18"/>
              </w:rPr>
              <w:t>SOC-D002 D010 D022 D049; Register requests a named-model independent review and local integration protocol. No Opus review or repository build is performed in this document task. Keep independent project review as a release gate; retain developer and user guides as delivery outputs.</w:t>
            </w:r>
          </w:p>
        </w:tc>
      </w:tr>
    </w:tbl>
    <w:p>
      <w:bookmarkStart w:id="128" w:name="orca_ch_128"/>
      <w:pPr>
        <w:pStyle w:val="UXHead_Heading1"/>
      </w:pPr>
      <w:r>
        <w:t>UI UX implementation review and remediation</w:t>
      </w:r>
      <w:bookmarkEnd w:id="128"/>
    </w:p>
    <w:p>
      <w:r>
        <w:t>The following observations refer to the supplied HTML prototype. They define design/implementation work for the production app; they are not assertions that a deployed authenticated application has these defects.</w:t>
      </w:r>
    </w:p>
    <w:p>
      <w:bookmarkStart w:id="129" w:name="orca_ch_129"/>
      <w:pPr>
        <w:pStyle w:val="UX_Heading1"/>
      </w:pPr>
      <w:r>
        <w:t>Prototype findings requiring priority changes</w:t>
      </w:r>
      <w:bookmarkEnd w:id="129"/>
    </w:p>
    <w:p>
      <w:pPr>
        <w:pStyle w:val="UX_Heading2"/>
      </w:pPr>
      <w:r>
        <w:t>P0 01 Hide inaccessible navigation</w:t>
      </w:r>
    </w:p>
    <w:p>
      <w:r>
        <w:t>Observed: navHTML renders area links without checking their child permissions. navFootHTML shows Administration to non-portal personas. renderMain renders every area tab, including unavailable ones.</w:t>
      </w:r>
    </w:p>
    <w:p>
      <w:r>
        <w:t>Required update: Filter child routes by tenant scope, permission and effective engine state. Render only groups with visible children; link an area to its first permitted child. Apply the same projection to tabs, footer items, shortcuts, badges and counts.</w:t>
      </w:r>
    </w:p>
    <w:p>
      <w:pPr>
        <w:spacing w:after="140"/>
      </w:pPr>
      <w:r>
        <w:rPr>
          <w:color w:val="4F6578"/>
          <w:sz w:val="17"/>
        </w:rPr>
        <w:t>Prototype reference: navHTML, navFootHTML and homeRoute around lines 2520–2533; renderMain around lines 938–952.</w:t>
      </w:r>
    </w:p>
    <w:p>
      <w:pPr>
        <w:pStyle w:val="UX_Heading2"/>
      </w:pPr>
      <w:r>
        <w:t>P0 02 Remove the full access bypass from acceptance paths</w:t>
      </w:r>
    </w:p>
    <w:p>
      <w:r>
        <w:t>Observed: decide returns Allow early for p.full, before subject-deny processing, and sod exempts a full persona from independent approval.</w:t>
      </w:r>
    </w:p>
    <w:p>
      <w:r>
        <w:t>Required update: Keep a clearly labelled demo persona only if needed, but never use it to accept UAM, deny or separation-of-duty behaviour. Production permissions must respect subject denies, role ceilings and independent approval for every user. Include realistic administrator and restricted-user test personas.</w:t>
      </w:r>
    </w:p>
    <w:p>
      <w:pPr>
        <w:spacing w:after="140"/>
      </w:pPr>
      <w:r>
        <w:rPr>
          <w:color w:val="4F6578"/>
          <w:sz w:val="17"/>
        </w:rPr>
        <w:t>Prototype reference: decide around line 764; sod around line 793; PERSONAS.ashwin around line 1129.</w:t>
      </w:r>
    </w:p>
    <w:p>
      <w:pPr>
        <w:pStyle w:val="UX_Heading2"/>
      </w:pPr>
      <w:r>
        <w:t>P0 03 Lock mandatory foundations On</w:t>
      </w:r>
    </w:p>
    <w:p>
      <w:r>
        <w:t>Observed: The module catalogue renders Enable and Disable actions for every engine. Dependency checks may prevent some changes, but there is no explicit foundation lock in modToggle.</w:t>
      </w:r>
    </w:p>
    <w:p>
      <w:r>
        <w:t>Required update: Show M01 and M02 as Required with a locked On control and a persistent explanation. Reject foundation disable requests on the server. Tenant suspension belongs to the lifecycle workflow.</w:t>
      </w:r>
    </w:p>
    <w:p>
      <w:pPr>
        <w:spacing w:after="140"/>
      </w:pPr>
      <w:r>
        <w:rPr>
          <w:color w:val="4F6578"/>
          <w:sz w:val="17"/>
        </w:rPr>
        <w:t>Prototype reference: R['admin/modules'], A.modToggle and modDetail around lines 2270–2281 and 2377–2400.</w:t>
      </w:r>
    </w:p>
    <w:p>
      <w:pPr>
        <w:pStyle w:val="UX_Heading2"/>
      </w:pPr>
      <w:r>
        <w:t>P0 04 Separate switching Off from data disposal</w:t>
      </w:r>
    </w:p>
    <w:p>
      <w:r>
        <w:t>Observed: The Disable dialog offers Retain read-only and Schedule purge alongside Retain and hide. The Off handler replaces the module object and clears its displayed version; its audit call does not include the entered reason.</w:t>
      </w:r>
    </w:p>
    <w:p>
      <w:r>
        <w:t>Required update: Make Off retain and hide the engine by default, preserving its settings and version. Remove purge from this flow. Record the reason, before/after state, tenant, actor, revision and result. Handle retention and authorised disposal separately.</w:t>
      </w:r>
    </w:p>
    <w:p>
      <w:pPr>
        <w:spacing w:after="140"/>
      </w:pPr>
      <w:r>
        <w:rPr>
          <w:color w:val="4F6578"/>
          <w:sz w:val="17"/>
        </w:rPr>
        <w:t>Prototype reference: A.modToggle disable dialog and A.modOff around lines 2279–2281.</w:t>
      </w:r>
    </w:p>
    <w:p>
      <w:r>
        <w:br w:type="page"/>
      </w:r>
    </w:p>
    <w:p>
      <w:bookmarkStart w:id="130" w:name="orca_ch_130"/>
      <w:pPr>
        <w:pStyle w:val="UX_Heading1"/>
      </w:pPr>
      <w:r>
        <w:t>Prototype improvements for the designer and developers</w:t>
      </w:r>
      <w:bookmarkEnd w:id="130"/>
    </w:p>
    <w:p>
      <w:pPr>
        <w:pStyle w:val="UX_Heading2"/>
      </w:pPr>
      <w:r>
        <w:t>P1 05 Create a tenant settings workspace</w:t>
      </w:r>
    </w:p>
    <w:p>
      <w:r>
        <w:t>Observed: Tenant detail is a registry drawer. Module detail emphasises purpose, permissions, screens and live figures rather than a common editable settings form.</w:t>
      </w:r>
    </w:p>
    <w:p>
      <w:r>
        <w:t>Required update: Add Administration &gt; Tenants &gt; selected tenant &gt; Settings &gt; Engines. Use one searchable registry with a selected-engine configuration panel. Keep developer-oriented permissions and dependency diagnostics in expandable detail.</w:t>
      </w:r>
    </w:p>
    <w:p>
      <w:pPr>
        <w:spacing w:after="140"/>
      </w:pPr>
      <w:r>
        <w:rPr>
          <w:color w:val="4F6578"/>
          <w:sz w:val="17"/>
        </w:rPr>
        <w:t>Prototype reference: A.tenOpen around line 2260; modDetail around lines 2377–2400.</w:t>
      </w:r>
    </w:p>
    <w:p>
      <w:pPr>
        <w:pStyle w:val="UX_Heading2"/>
      </w:pPr>
      <w:r>
        <w:t>P1 06 Separate health from configured enablement</w:t>
      </w:r>
    </w:p>
    <w:p>
      <w:r>
        <w:t>Observed: modOn treats healthy and degraded as enabled; enabling immediately writes healthy. There are no separate configured On/Off and effective-transition fields in this action.</w:t>
      </w:r>
    </w:p>
    <w:p>
      <w:r>
        <w:t>Required update: Display configured On/Off separately from Healthy, Degraded, Starting, Stopping, Not configured and Unavailable. Validate settings, scopes, consent and compatibility before activation. A source failure does not change the user setting to Off.</w:t>
      </w:r>
    </w:p>
    <w:p>
      <w:pPr>
        <w:spacing w:after="140"/>
      </w:pPr>
      <w:r>
        <w:rPr>
          <w:color w:val="4F6578"/>
          <w:sz w:val="17"/>
        </w:rPr>
        <w:t>Prototype reference: modSt and modOn around lines 802–803; A.modToggle around line 2276.</w:t>
      </w:r>
    </w:p>
    <w:p>
      <w:pPr>
        <w:pStyle w:val="UX_Heading2"/>
      </w:pPr>
      <w:r>
        <w:t>P1 07 Use one catalogue and a deliberate save workflow</w:t>
      </w:r>
    </w:p>
    <w:p>
      <w:r>
        <w:t>Observed: The final catalogue renders grouped engine tiles and then the full engine table, duplicating navigation. State changes apply immediately and setting revisions are not part of the module action.</w:t>
      </w:r>
    </w:p>
    <w:p>
      <w:r>
        <w:t>Required update: Use one registry with search and state filters. Stage edits, show unsaved changes, review tenant-specific impact, require a reason and apply with a revision check. Guard tenant switching and leaving the page when changes are unsaved.</w:t>
      </w:r>
    </w:p>
    <w:p>
      <w:pPr>
        <w:spacing w:after="140"/>
      </w:pPr>
      <w:r>
        <w:rPr>
          <w:color w:val="4F6578"/>
          <w:sz w:val="17"/>
        </w:rPr>
        <w:t>Prototype reference: Final R['admin/modules'] wrapper around lines 2404–2411; A.modToggle and A.modOff.</w:t>
      </w:r>
    </w:p>
    <w:p>
      <w:pPr>
        <w:pStyle w:val="UX_Heading2"/>
      </w:pPr>
      <w:r>
        <w:t>P1 08 Keep portal access and roles consistent</w:t>
      </w:r>
    </w:p>
    <w:p>
      <w:r>
        <w:t>Observed: M23 descriptive text says guests only, while the agreed model permits explicitly entitled operators. The role seed also includes Problem.Manager and Change.Manager alongside the canonical change/problem concepts.</w:t>
      </w:r>
    </w:p>
    <w:p>
      <w:r>
        <w:t>Required update: Use requester.portal.enter plus tenant scope, not account class alone, to show Self-service. Reconcile role names with Problem.Manager and Change.Manager. Keep delegation and department visibility optional, scoped and Off by default.</w:t>
      </w:r>
    </w:p>
    <w:p>
      <w:pPr>
        <w:spacing w:after="140"/>
      </w:pPr>
      <w:r>
        <w:rPr>
          <w:color w:val="4F6578"/>
          <w:sz w:val="17"/>
        </w:rPr>
        <w:t>Prototype reference: MODX.M23 around lines 2723–2727; ITSM role seeds around lines 2760–2762.</w:t>
      </w:r>
    </w:p>
    <w:p>
      <w:pPr>
        <w:pStyle w:val="UX_Heading2"/>
      </w:pPr>
      <w:r>
        <w:t>P1 DS 09 Make the shell accessible and responsive</w:t>
      </w:r>
    </w:p>
    <w:p>
      <w:r>
        <w:t>Observed: Existing tokens and labelled states provide a good starting point. Dense catalogue/detail layouts and overlay code still need device and keyboard acceptance.</w:t>
      </w:r>
    </w:p>
    <w:p>
      <w:r>
        <w:t>Required update: Use persistent field labels, visible focus, keyboard-operable switches, text plus state symbols and non-colour selection. Trap focus in dialogs, restore it on close, and stack the registry above the form on narrow screens. Validate both themes at zoom and with long engine names.</w:t>
      </w:r>
    </w:p>
    <w:p>
      <w:pPr>
        <w:spacing w:after="140"/>
      </w:pPr>
      <w:r>
        <w:rPr>
          <w:color w:val="4F6578"/>
          <w:sz w:val="17"/>
        </w:rPr>
        <w:t>Prototype reference: Brand tokens near the start of the file; openModal around lines 813–818; module catalogue and detail markup.</w:t>
      </w:r>
    </w:p>
    <w:p>
      <w:pPr/>
    </w:p>
    <w:p>
      <w:bookmarkStart w:id="131" w:name="orca_ch_131"/>
      <w:pPr>
        <w:pStyle w:val="Ops_Heading1"/>
      </w:pPr>
      <w:r>
        <w:t>Development deployment and operational playbook</w:t>
      </w:r>
      <w:bookmarkEnd w:id="131"/>
    </w:p>
    <w:p>
      <w:r>
        <w:t>This playbook defines the delivery procedure for the architecture specified in this master. Use the actual repository, reviewed release manifest and environment bindings when executing commands. Example command placeholders are not claims that a repository layout, package version or deployment has already been verified.</w:t>
      </w:r>
    </w:p>
    <w:p>
      <w:pPr>
        <w:pStyle w:val="Ops_Heading2"/>
      </w:pPr>
      <w:r>
        <w:t>Environment and configuration inventory</w:t>
      </w:r>
    </w:p>
    <w:tbl>
      <w:tblPr>
        <w:tblStyle w:val="Ops_LightShading-Accent1"/>
        <w:tblW w:type="auto" w:w="0"/>
        <w:tblLayout w:type="fixed"/>
        <w:tblLook w:firstColumn="1" w:firstRow="1" w:lastColumn="0" w:lastRow="0" w:noHBand="0" w:noVBand="1" w:val="04A0"/>
      </w:tblPr>
      <w:tblGrid>
        <w:gridCol w:w="2015"/>
        <w:gridCol w:w="7848"/>
      </w:tblGrid>
      <w:tr>
        <w:trPr>
          <w:tblHeader/>
        </w:trPr>
        <w:tc>
          <w:tcPr>
            <w:tcW w:type="dxa" w:w="2016"/>
          </w:tcPr>
          <w:p>
            <w:r>
              <w:t>Area</w:t>
            </w:r>
          </w:p>
        </w:tc>
        <w:tc>
          <w:tcPr>
            <w:tcW w:type="dxa" w:w="7848"/>
          </w:tcPr>
          <w:p>
            <w:r>
              <w:t>Required recorded configuration</w:t>
            </w:r>
          </w:p>
        </w:tc>
      </w:tr>
      <w:tr>
        <w:tc>
          <w:tcPr>
            <w:tcW w:type="dxa" w:w="2016"/>
          </w:tcPr>
          <w:p>
            <w:pPr>
              <w:spacing w:after="80"/>
            </w:pPr>
            <w:r>
              <w:rPr>
                <w:sz w:val="18"/>
              </w:rPr>
              <w:t>Build identity</w:t>
            </w:r>
          </w:p>
        </w:tc>
        <w:tc>
          <w:tcPr>
            <w:tcW w:type="dxa" w:w="7848"/>
          </w:tcPr>
          <w:p>
            <w:pPr>
              <w:spacing w:after="80"/>
            </w:pPr>
            <w:r>
              <w:rPr>
                <w:sz w:val="18"/>
              </w:rPr>
              <w:t>Repository URL, full source commit, SDK/runtime lock, package lock/manifest, SBOM, independent review and artifact digest.</w:t>
            </w:r>
          </w:p>
        </w:tc>
      </w:tr>
      <w:tr>
        <w:tc>
          <w:tcPr>
            <w:tcW w:type="dxa" w:w="2016"/>
          </w:tcPr>
          <w:p>
            <w:pPr>
              <w:spacing w:after="80"/>
            </w:pPr>
            <w:r>
              <w:rPr>
                <w:sz w:val="18"/>
              </w:rPr>
              <w:t>Host modes</w:t>
            </w:r>
          </w:p>
        </w:tc>
        <w:tc>
          <w:tcPr>
            <w:tcW w:type="dxa" w:w="7848"/>
          </w:tcPr>
          <w:p>
            <w:pPr>
              <w:spacing w:after="80"/>
            </w:pPr>
            <w:r>
              <w:rPr>
                <w:sz w:val="18"/>
              </w:rPr>
              <w:t>Windows App Service Reader and Executor, separate identities/registrations, allowed services, Data Protection, SignalR topology and nonproduction isolation.</w:t>
            </w:r>
          </w:p>
        </w:tc>
      </w:tr>
      <w:tr>
        <w:tc>
          <w:tcPr>
            <w:tcW w:type="dxa" w:w="2016"/>
          </w:tcPr>
          <w:p>
            <w:pPr>
              <w:spacing w:after="80"/>
            </w:pPr>
            <w:r>
              <w:rPr>
                <w:sz w:val="18"/>
              </w:rPr>
              <w:t>Trusted data</w:t>
            </w:r>
          </w:p>
        </w:tc>
        <w:tc>
          <w:tcPr>
            <w:tcW w:type="dxa" w:w="7848"/>
          </w:tcPr>
          <w:p>
            <w:pPr>
              <w:spacing w:after="80"/>
            </w:pPr>
            <w:r>
              <w:rPr>
                <w:sz w:val="18"/>
              </w:rPr>
              <w:t>Control registry, operator database per tenant, customer operational/content bindings, markers, credentials and trust probes. No secrets in source or client settings.</w:t>
            </w:r>
          </w:p>
        </w:tc>
      </w:tr>
      <w:tr>
        <w:tc>
          <w:tcPr>
            <w:tcW w:type="dxa" w:w="2016"/>
          </w:tcPr>
          <w:p>
            <w:pPr>
              <w:spacing w:after="80"/>
            </w:pPr>
            <w:r>
              <w:rPr>
                <w:sz w:val="18"/>
              </w:rPr>
              <w:t>Storage and vectors</w:t>
            </w:r>
          </w:p>
        </w:tc>
        <w:tc>
          <w:tcPr>
            <w:tcW w:type="dxa" w:w="7848"/>
          </w:tcPr>
          <w:p>
            <w:pPr>
              <w:spacing w:after="80"/>
            </w:pPr>
            <w:r>
              <w:rPr>
                <w:sz w:val="18"/>
              </w:rPr>
              <w:t>Tenant Blob container/custody, authenticated scan-result route, Qdrant tenant/model prefix, restore/rebuild plan and capacity limits.</w:t>
            </w:r>
          </w:p>
        </w:tc>
      </w:tr>
      <w:tr>
        <w:tc>
          <w:tcPr>
            <w:tcW w:type="dxa" w:w="2016"/>
          </w:tcPr>
          <w:p>
            <w:pPr>
              <w:spacing w:after="80"/>
            </w:pPr>
            <w:r>
              <w:rPr>
                <w:sz w:val="18"/>
              </w:rPr>
              <w:t>AI and sources</w:t>
            </w:r>
          </w:p>
        </w:tc>
        <w:tc>
          <w:tcPr>
            <w:tcW w:type="dxa" w:w="7848"/>
          </w:tcPr>
          <w:p>
            <w:pPr>
              <w:spacing w:after="80"/>
            </w:pPr>
            <w:r>
              <w:rPr>
                <w:sz w:val="18"/>
              </w:rPr>
              <w:t>Private LocalOnly path, approved model/version profiles, cloud/web policy when enabled, Read/Respond consent, source scopes, checkpoints and capability evidence.</w:t>
            </w:r>
          </w:p>
        </w:tc>
      </w:tr>
      <w:tr>
        <w:tc>
          <w:tcPr>
            <w:tcW w:type="dxa" w:w="2016"/>
          </w:tcPr>
          <w:p>
            <w:pPr>
              <w:spacing w:after="80"/>
            </w:pPr>
            <w:r>
              <w:rPr>
                <w:sz w:val="18"/>
              </w:rPr>
              <w:t>Service ownership</w:t>
            </w:r>
          </w:p>
        </w:tc>
        <w:tc>
          <w:tcPr>
            <w:tcW w:type="dxa" w:w="7848"/>
          </w:tcPr>
          <w:p>
            <w:pPr>
              <w:spacing w:after="80"/>
            </w:pPr>
            <w:r>
              <w:rPr>
                <w:sz w:val="18"/>
              </w:rPr>
              <w:t>Tenant sponsor, on-call, primary/backup, recovery owners, approved retention, service calendar, operational limits and change record.</w:t>
            </w:r>
          </w:p>
        </w:tc>
      </w:tr>
    </w:tbl>
    <w:p>
      <w:pPr>
        <w:pStyle w:val="Ops_Heading2"/>
      </w:pPr>
      <w:r>
        <w:t>Local Windows development sequence</w:t>
      </w:r>
    </w:p>
    <w:p>
      <w:r>
        <w:t>1. Check out the reviewed source commit and use its pinned supported .NET SDK/runtime. Restore dependencies and record package provenance/licences. Do not guess project paths from the prototype or silently upgrade production packages.</w:t>
      </w:r>
    </w:p>
    <w:p>
      <w:r>
        <w:t>2. Configure operator-directory development registration, approved test memberships and least-privileged test roles. Use isolated nonproduction Read and Respond source registrations; do not consent a development connector into a customer production tenant.</w:t>
      </w:r>
    </w:p>
    <w:p>
      <w:r>
        <w:t>3. Bind test tenant operational/content and operator authority stores, Key Vault references, local/private AI profile and vector namespace. Validate TLS, allowed endpoint, exact database grants, marker and cluster identity before data access. Seed test fixtures with explicit tenant ownership.</w:t>
      </w:r>
    </w:p>
    <w:p>
      <w:r>
        <w:t>4. Build and run the existing repository’s validation pipeline. Typical CLI pattern is dotnet restore &lt;solution&gt;, dotnet build &lt;solution&gt; --configuration Release and dotnet test &lt;test-solution&gt; --configuration Release; substitute actual reviewed paths and required test arguments. This is a command pattern, not repository execution evidence.</w:t>
      </w:r>
    </w:p>
    <w:p>
      <w:r>
        <w:t>5. Start Reader and Executor in their registered modes. Prove Reader has no response credentials, Executor does not become an unregistered general job host, mandatory M01/M02 stay active, optional engines start only after their settings/dependencies validate, and local AI never falls back to cloud under LocalOnly.</w:t>
      </w:r>
    </w:p>
    <w:p>
      <w:r>
        <w:br w:type="page"/>
      </w:r>
    </w:p>
    <w:p>
      <w:bookmarkStart w:id="132" w:name="orca_ch_132"/>
      <w:pPr>
        <w:pStyle w:val="Ops_Heading1"/>
      </w:pPr>
      <w:r>
        <w:t>Testing UAT and release verification procedure</w:t>
      </w:r>
      <w:bookmarkEnd w:id="132"/>
    </w:p>
    <w:p>
      <w:pPr>
        <w:pStyle w:val="Ops_Heading2"/>
      </w:pPr>
      <w:r>
        <w:t>Developer verification</w:t>
      </w:r>
    </w:p>
    <w:p>
      <w:r>
        <w:t>Trace each requirement to an owning engine task and test. Exercise deterministic calculations and transitions, policy/tenant boundaries, ordered outbox recovery, failed/unknown provider results, file custody and budget reservations. Verify negative cases with realistic roles; do not use a full-access prototype persona to accept deny rules or separation of duties.</w:t>
      </w:r>
    </w:p>
    <w:p>
      <w:pPr>
        <w:pStyle w:val="Ops_Heading2"/>
      </w:pPr>
      <w:r>
        <w:t>Independent review and QA</w:t>
      </w:r>
    </w:p>
    <w:p>
      <w:r>
        <w:t>Review source changes and trust implications independently from the author. Record source hash, schema/registry versions, build artifact, environment, data fixtures, expected/actual behaviour and evidence location. Execute applicable engine AC, carried-forward V5/V6 tests, global A tests, ITSM-A tests, ENGNAV, TSET/NAV and ECFG tests. “Resolved” in a requirements register does not mean the corresponding implementation test passed.</w:t>
      </w:r>
    </w:p>
    <w:p>
      <w:pPr>
        <w:pStyle w:val="Ops_Heading2"/>
      </w:pPr>
      <w:r>
        <w:t>Required UAT personas and journeys</w:t>
      </w:r>
    </w:p>
    <w:tbl>
      <w:tblPr>
        <w:tblStyle w:val="Ops_LightShading-Accent1"/>
        <w:tblW w:type="auto" w:w="0"/>
        <w:tblLayout w:type="fixed"/>
        <w:tblLook w:firstColumn="1" w:firstRow="1" w:lastColumn="0" w:lastRow="0" w:noHBand="0" w:noVBand="1" w:val="04A0"/>
      </w:tblPr>
      <w:tblGrid>
        <w:gridCol w:w="2015"/>
        <w:gridCol w:w="7848"/>
      </w:tblGrid>
      <w:tr>
        <w:trPr>
          <w:tblHeader/>
        </w:trPr>
        <w:tc>
          <w:tcPr>
            <w:tcW w:type="dxa" w:w="2016"/>
          </w:tcPr>
          <w:p>
            <w:r>
              <w:t>Persona or scenario</w:t>
            </w:r>
          </w:p>
        </w:tc>
        <w:tc>
          <w:tcPr>
            <w:tcW w:type="dxa" w:w="7848"/>
          </w:tcPr>
          <w:p>
            <w:r>
              <w:t>Required demonstration</w:t>
            </w:r>
          </w:p>
        </w:tc>
      </w:tr>
      <w:tr>
        <w:tc>
          <w:tcPr>
            <w:tcW w:type="dxa" w:w="2016"/>
          </w:tcPr>
          <w:p>
            <w:pPr>
              <w:spacing w:after="80"/>
            </w:pPr>
            <w:r>
              <w:rPr>
                <w:sz w:val="18"/>
              </w:rPr>
              <w:t>Platform administrator</w:t>
            </w:r>
          </w:p>
        </w:tc>
        <w:tc>
          <w:tcPr>
            <w:tcW w:type="dxa" w:w="7848"/>
          </w:tcPr>
          <w:p>
            <w:pPr>
              <w:spacing w:after="80"/>
            </w:pPr>
            <w:r>
              <w:rPr>
                <w:sz w:val="18"/>
              </w:rPr>
              <w:t>Tenant/registry administration without customer-content bypass or self-approved support access.</w:t>
            </w:r>
          </w:p>
        </w:tc>
      </w:tr>
      <w:tr>
        <w:tc>
          <w:tcPr>
            <w:tcW w:type="dxa" w:w="2016"/>
          </w:tcPr>
          <w:p>
            <w:pPr>
              <w:spacing w:after="80"/>
            </w:pPr>
            <w:r>
              <w:rPr>
                <w:sz w:val="18"/>
              </w:rPr>
              <w:t>Restricted analyst</w:t>
            </w:r>
          </w:p>
        </w:tc>
        <w:tc>
          <w:tcPr>
            <w:tcW w:type="dxa" w:w="7848"/>
          </w:tcPr>
          <w:p>
            <w:pPr>
              <w:spacing w:after="80"/>
            </w:pPr>
            <w:r>
              <w:rPr>
                <w:sz w:val="18"/>
              </w:rPr>
              <w:t>Only permitted menu/tabs/actions; direct URL/API/export denial, resource scope and revoked-access clearing.</w:t>
            </w:r>
          </w:p>
        </w:tc>
      </w:tr>
      <w:tr>
        <w:tc>
          <w:tcPr>
            <w:tcW w:type="dxa" w:w="2016"/>
          </w:tcPr>
          <w:p>
            <w:pPr>
              <w:spacing w:after="80"/>
            </w:pPr>
            <w:r>
              <w:rPr>
                <w:sz w:val="18"/>
              </w:rPr>
              <w:t>Service desk and requester</w:t>
            </w:r>
          </w:p>
        </w:tc>
        <w:tc>
          <w:tcPr>
            <w:tcW w:type="dxa" w:w="7848"/>
          </w:tcPr>
          <w:p>
            <w:pPr>
              <w:spacing w:after="80"/>
            </w:pPr>
            <w:r>
              <w:rPr>
                <w:sz w:val="18"/>
              </w:rPr>
              <w:t>Public/private history, own/delegated ticket scope, SLA calendars, approvals/tasks, safe mailbox convergence and optional extension defaults.</w:t>
            </w:r>
          </w:p>
        </w:tc>
      </w:tr>
      <w:tr>
        <w:tc>
          <w:tcPr>
            <w:tcW w:type="dxa" w:w="2016"/>
          </w:tcPr>
          <w:p>
            <w:pPr>
              <w:spacing w:after="80"/>
            </w:pPr>
            <w:r>
              <w:rPr>
                <w:sz w:val="18"/>
              </w:rPr>
              <w:t>FinOps/licensing/governance</w:t>
            </w:r>
          </w:p>
        </w:tc>
        <w:tc>
          <w:tcPr>
            <w:tcW w:type="dxa" w:w="7848"/>
          </w:tcPr>
          <w:p>
            <w:pPr>
              <w:spacing w:after="80"/>
            </w:pPr>
            <w:r>
              <w:rPr>
                <w:sz w:val="18"/>
              </w:rPr>
              <w:t>Evidence-based calculations, currencies, score scope, unknown telemetry, actual versus estimated savings and read-only source posture.</w:t>
            </w:r>
          </w:p>
        </w:tc>
      </w:tr>
      <w:tr>
        <w:tc>
          <w:tcPr>
            <w:tcW w:type="dxa" w:w="2016"/>
          </w:tcPr>
          <w:p>
            <w:pPr>
              <w:spacing w:after="80"/>
            </w:pPr>
            <w:r>
              <w:rPr>
                <w:sz w:val="18"/>
              </w:rPr>
              <w:t>File and AI</w:t>
            </w:r>
          </w:p>
        </w:tc>
        <w:tc>
          <w:tcPr>
            <w:tcW w:type="dxa" w:w="7848"/>
          </w:tcPr>
          <w:p>
            <w:pPr>
              <w:spacing w:after="80"/>
            </w:pPr>
            <w:r>
              <w:rPr>
                <w:sz w:val="18"/>
              </w:rPr>
              <w:t>Eligible read/download, quarantine, holds, pinned evidence, ACL revocation in retrieval/history, LocalOnly and atomic AI limits.</w:t>
            </w:r>
          </w:p>
        </w:tc>
      </w:tr>
      <w:tr>
        <w:tc>
          <w:tcPr>
            <w:tcW w:type="dxa" w:w="2016"/>
          </w:tcPr>
          <w:p>
            <w:pPr>
              <w:spacing w:after="80"/>
            </w:pPr>
            <w:r>
              <w:rPr>
                <w:sz w:val="18"/>
              </w:rPr>
              <w:t>Failure and recovery</w:t>
            </w:r>
          </w:p>
        </w:tc>
        <w:tc>
          <w:tcPr>
            <w:tcW w:type="dxa" w:w="7848"/>
          </w:tcPr>
          <w:p>
            <w:pPr>
              <w:spacing w:after="80"/>
            </w:pPr>
            <w:r>
              <w:rPr>
                <w:sz w:val="18"/>
              </w:rPr>
              <w:t>Duplicate/reordered delivery, worker crash, timeout after provider acceptance, shutdown race, two-store restore/quarantine and tenant A versus B isolation.</w:t>
            </w:r>
          </w:p>
        </w:tc>
      </w:tr>
    </w:tbl>
    <w:p>
      <w:pPr>
        <w:pStyle w:val="Ops_Heading2"/>
      </w:pPr>
      <w:r>
        <w:t>Business and production acceptance</w:t>
      </w:r>
    </w:p>
    <w:p>
      <w:r>
        <w:t>A partial release lists every deferred requirement and its future completion gate; it cannot be described as full engine completion. Programme R12 covers the 23 original engines plus Phase 1 M25 and Phase 1 M24, R06T/R06M/R09T and required cloud/web/advanced paths. Record business/security/operations sign-off against tested scope, outstanding findings and approved exceptions. Dates, staffing and production SLAs remain recorded planning/service inputs rather than invented delivery commitments.</w:t>
      </w:r>
    </w:p>
    <w:p>
      <w:r>
        <w:br w:type="page"/>
      </w:r>
    </w:p>
    <w:p>
      <w:bookmarkStart w:id="133" w:name="orca_ch_133"/>
      <w:pPr>
        <w:pStyle w:val="Ops_Heading1"/>
      </w:pPr>
      <w:r>
        <w:t>Azure deployment and production onboarding procedure</w:t>
      </w:r>
      <w:bookmarkEnd w:id="133"/>
    </w:p>
    <w:p>
      <w:r>
        <w:t>1. Prepare a reviewed release/change record with source commit, artifact digest, compatible host/engine/schema versions, approved secrets/references, target subscription/environment, rollback plan, required downtime and named operator/reviewer.</w:t>
      </w:r>
    </w:p>
    <w:p>
      <w:r>
        <w:t>2. Validate the Windows host topology, private network routing, identity assignments, operator stores, customer store bindings, Blob/scan event delivery, Qdrant access, certificates and approved AI/provider endpoints. Source consent and operator sign-in authority are distinct; verify both.</w:t>
      </w:r>
    </w:p>
    <w:p>
      <w:r>
        <w:t>3. Deploy additive compatible migrations first under the owning module’s registered process. Validate backups/restore evidence and the current outbox/rollback anchors. Do not mutate frozen collection names, skip required transactions or let a migration erase approvals/audit/checkpoints.</w:t>
      </w:r>
    </w:p>
    <w:p>
      <w:r>
        <w:t>4. Stage the exact signed/published build through the existing approved pipeline. Verify Reader versus Executor configuration, secret access and dispatch identity before enabling response. Avoid copying production consent or tenant credentials to nonproduction.</w:t>
      </w:r>
    </w:p>
    <w:p>
      <w:r>
        <w:t>5. Onboard a tenant by validating immutable code, membership object IDs, customer directory, operational/content store identity and marker, operator authority store, file/vector namespaces, policies and contact/retention/offboarding responsibilities. Keep unready capabilities unavailable.</w:t>
      </w:r>
    </w:p>
    <w:p>
      <w:r>
        <w:t>6. Keep M01/M02 active, then activate optional engines by explicit reviewed settings plan in dependency order. Configure collectors read-only first where required. Test bounded source/probe scope, last-success checkpoint and whether missing telemetry is reported as unknown.</w:t>
      </w:r>
    </w:p>
    <w:p>
      <w:r>
        <w:t>7. Run production-safe smoke checks for sign-in, membership, allowed/denied routes, schema/generation consistency, file access, source freshness, budget denial and notification delivery. Response smoke tests require their own approved safe target/action and independent authority.</w:t>
      </w:r>
    </w:p>
    <w:p>
      <w:r>
        <w:t>8. Observe declared pilot metrics and operational recovery checks; widen rollout only within accepted scope. Record deployment receipt, actual versions, test evidence and any known degraded state. A successful deployment is not proof that all programme acceptance gates are closed.</w:t>
      </w:r>
    </w:p>
    <w:p>
      <w:r>
        <w:br w:type="page"/>
      </w:r>
    </w:p>
    <w:p>
      <w:bookmarkStart w:id="134" w:name="orca_ch_134"/>
      <w:pPr>
        <w:pStyle w:val="Ops_Heading1"/>
      </w:pPr>
      <w:r>
        <w:t>Incident recovery rollback and customer offboarding</w:t>
      </w:r>
      <w:bookmarkEnd w:id="134"/>
    </w:p>
    <w:p>
      <w:pPr>
        <w:pStyle w:val="Ops_Heading2"/>
      </w:pPr>
      <w:r>
        <w:t>Recovery and rollback</w:t>
      </w:r>
    </w:p>
    <w:p>
      <w:r>
        <w:t>Confirm tenant/environment and affected engine; inspect desired state, runtime state, authoritative generation, health, job leases and accepted action receipts. Prefer stopping new work through current controls over changing database fields manually.</w:t>
      </w:r>
    </w:p>
    <w:p>
      <w:r>
        <w:t>An accepted external action requires verification/read-back before retry or compensation. Switching Off cannot retroactively cancel it. Preserve unknown/Undetermined outcomes and their foundation terminal semantics; do not invent a successful result from missing proof.</w:t>
      </w:r>
    </w:p>
    <w:p>
      <w:r>
        <w:t>For application rollback, use a build compatible with committed schemas and new receipts or apply a reviewed corrective migration. Settings rollback is a new revision, not an overwrite of history. Never replay expired approvals or restore a stale outbox counter as current authority.</w:t>
      </w:r>
    </w:p>
    <w:p>
      <w:r>
        <w:t>Restore operator/customer data independently through existing quarantine and reconciliation. Test marker/cluster identity, anchored counters, proofs, configuration generations, leases, audit and source checkpoints before resuming. Rebuild replaceable vectors per tenant/model from authorised originals.</w:t>
      </w:r>
    </w:p>
    <w:p>
      <w:r>
        <w:t>Demonstrate the scoped operator RTO/RPO targets and separately recorded customer backup terms. Customer cluster backup availability does not prove single-database recovery or vector rebuild time. Keep recovery timestamps, validation and the authorised reopen decision in the operational record.</w:t>
      </w:r>
    </w:p>
    <w:p>
      <w:pPr>
        <w:pStyle w:val="Ops_Heading2"/>
      </w:pPr>
      <w:r>
        <w:t>Customer offboarding</w:t>
      </w:r>
    </w:p>
    <w:p>
      <w:r>
        <w:t>Agree scope and delivery method under the service policy; stop new source/response work and reconcile accepted commands. The customer retains committed business records on its customer-held databases and receives a portable versioned export with public history, schema metadata and attachment manifests. Transfer eligible attachment binaries through the separate custody/offboarding process. Include agreed SLA/approval evidence extracts; disclosure of private operator notes and retained audit follows the separate policy. Revoke connector consent/credentials, memberships and source bindings only in the reviewed sequence that preserves required receipts, legal holds and export verification.</w:t>
      </w:r>
    </w:p>
    <w:p>
      <w:pPr>
        <w:pStyle w:val="Ops_Heading2"/>
      </w:pPr>
      <w:r>
        <w:t>User and support documentation deliverables</w:t>
      </w:r>
    </w:p>
    <w:p>
      <w:r>
        <w:t>Maintain role-specific operator, requester, administrator and service-desk guides; developer setup and API contracts; QA/UAT scenarios; engine settings and access troubleshooting; source consent and health guidance; incident/playbook/evidence procedures; and deployment/recovery/offboarding runbooks. Their required behaviours are defined here; screenshots and exact repository commands must be maintained against the delivered application version.</w:t>
      </w:r>
    </w:p>
    <w:p>
      <w:pPr>
        <w:sectPr>
          <w:footerReference w:type="default" r:id="rId9"/>
          <w:headerReference w:type="default" r:id="rId14"/>
          <w:pgSz w:w="12240" w:h="15840"/>
          <w:pgMar w:top="936" w:right="1008" w:bottom="936" w:left="1008" w:header="720" w:footer="720" w:gutter="0"/>
          <w:cols w:space="720"/>
          <w:docGrid w:linePitch="360"/>
        </w:sectPr>
      </w:pPr>
    </w:p>
    <w:p>
      <w:bookmarkStart w:id="135" w:name="orca_ch_135"/>
      <w:pPr>
        <w:pStyle w:val="Heading1"/>
      </w:pPr>
      <w:r>
        <w:t>Visual reference light theme</w:t>
      </w:r>
      <w:bookmarkEnd w:id="135"/>
    </w:p>
    <w:p>
      <w:r>
        <w:t>Illustrative layout; typed production controls and real validation/health replace sample values.</w:t>
      </w:r>
    </w:p>
    <w:p>
      <w:r>
        <w:drawing>
          <wp:inline xmlns:a="http://schemas.openxmlformats.org/drawingml/2006/main" xmlns:pic="http://schemas.openxmlformats.org/drawingml/2006/picture">
            <wp:extent cx="7589520" cy="5312664"/>
            <wp:docPr id="5" name="Picture 5"/>
            <wp:cNvGraphicFramePr>
              <a:graphicFrameLocks noChangeAspect="1"/>
            </wp:cNvGraphicFramePr>
            <a:graphic>
              <a:graphicData uri="http://schemas.openxmlformats.org/drawingml/2006/picture">
                <pic:pic>
                  <pic:nvPicPr>
                    <pic:cNvPr id="0" name="tenant-settings-light.png"/>
                    <pic:cNvPicPr/>
                  </pic:nvPicPr>
                  <pic:blipFill>
                    <a:blip r:embed="rId15"/>
                    <a:stretch>
                      <a:fillRect/>
                    </a:stretch>
                  </pic:blipFill>
                  <pic:spPr>
                    <a:xfrm>
                      <a:off x="0" y="0"/>
                      <a:ext cx="7589520" cy="5312664"/>
                    </a:xfrm>
                    <a:prstGeom prst="rect"/>
                  </pic:spPr>
                </pic:pic>
              </a:graphicData>
            </a:graphic>
          </wp:inline>
        </w:drawing>
      </w:r>
    </w:p>
    <w:p>
      <w:pPr>
        <w:sectPr>
          <w:pgSz w:w="16834" w:h="11909" w:orient="landscape"/>
          <w:pgMar w:top="792" w:right="792" w:bottom="792" w:left="792" w:header="720" w:footer="720" w:gutter="0"/>
          <w:cols w:space="720"/>
          <w:docGrid w:linePitch="360"/>
        </w:sectPr>
      </w:pPr>
    </w:p>
    <w:p>
      <w:bookmarkStart w:id="136" w:name="orca_ch_136"/>
      <w:pPr>
        <w:pStyle w:val="Heading1"/>
      </w:pPr>
      <w:r>
        <w:t>Visual reference dark theme</w:t>
      </w:r>
      <w:bookmarkEnd w:id="136"/>
    </w:p>
    <w:p>
      <w:r>
        <w:t>Identical configuration, status and access behaviour in both approved themes.</w:t>
      </w:r>
    </w:p>
    <w:p>
      <w:r>
        <w:drawing>
          <wp:inline xmlns:a="http://schemas.openxmlformats.org/drawingml/2006/main" xmlns:pic="http://schemas.openxmlformats.org/drawingml/2006/picture">
            <wp:extent cx="7589520" cy="5312664"/>
            <wp:docPr id="6" name="Picture 6"/>
            <wp:cNvGraphicFramePr>
              <a:graphicFrameLocks noChangeAspect="1"/>
            </wp:cNvGraphicFramePr>
            <a:graphic>
              <a:graphicData uri="http://schemas.openxmlformats.org/drawingml/2006/picture">
                <pic:pic>
                  <pic:nvPicPr>
                    <pic:cNvPr id="0" name="tenant-settings-dark.png"/>
                    <pic:cNvPicPr/>
                  </pic:nvPicPr>
                  <pic:blipFill>
                    <a:blip r:embed="rId16"/>
                    <a:stretch>
                      <a:fillRect/>
                    </a:stretch>
                  </pic:blipFill>
                  <pic:spPr>
                    <a:xfrm>
                      <a:off x="0" y="0"/>
                      <a:ext cx="7589520" cy="5312664"/>
                    </a:xfrm>
                    <a:prstGeom prst="rect"/>
                  </pic:spPr>
                </pic:pic>
              </a:graphicData>
            </a:graphic>
          </wp:inline>
        </w:drawing>
      </w:r>
    </w:p>
    <w:p>
      <w:pPr>
        <w:sectPr>
          <w:pgSz w:w="16834" w:h="11909" w:orient="landscape"/>
          <w:pgMar w:top="792" w:right="792" w:bottom="792" w:left="792" w:header="720" w:footer="720" w:gutter="0"/>
          <w:cols w:space="720"/>
          <w:docGrid w:linePitch="360"/>
        </w:sectPr>
      </w:pPr>
    </w:p>
    <w:p>
      <w:bookmarkStart w:id="137" w:name="orca_ch_137"/>
      <w:pPr>
        <w:pStyle w:val="Heading1"/>
      </w:pPr>
      <w:r>
        <w:t>Visual reference review dialog</w:t>
      </w:r>
      <w:bookmarkEnd w:id="137"/>
    </w:p>
    <w:p>
      <w:r>
        <w:t>Server-generated before/after review bound to tenant, generation and audited reason.</w:t>
      </w:r>
    </w:p>
    <w:p>
      <w:r>
        <w:drawing>
          <wp:inline xmlns:a="http://schemas.openxmlformats.org/drawingml/2006/main" xmlns:pic="http://schemas.openxmlformats.org/drawingml/2006/picture">
            <wp:extent cx="7589520" cy="5312664"/>
            <wp:docPr id="7" name="Picture 7"/>
            <wp:cNvGraphicFramePr>
              <a:graphicFrameLocks noChangeAspect="1"/>
            </wp:cNvGraphicFramePr>
            <a:graphic>
              <a:graphicData uri="http://schemas.openxmlformats.org/drawingml/2006/picture">
                <pic:pic>
                  <pic:nvPicPr>
                    <pic:cNvPr id="0" name="tenant-settings-dark-review.png"/>
                    <pic:cNvPicPr/>
                  </pic:nvPicPr>
                  <pic:blipFill>
                    <a:blip r:embed="rId17"/>
                    <a:stretch>
                      <a:fillRect/>
                    </a:stretch>
                  </pic:blipFill>
                  <pic:spPr>
                    <a:xfrm>
                      <a:off x="0" y="0"/>
                      <a:ext cx="7589520" cy="5312664"/>
                    </a:xfrm>
                    <a:prstGeom prst="rect"/>
                  </pic:spPr>
                </pic:pic>
              </a:graphicData>
            </a:graphic>
          </wp:inline>
        </w:drawing>
      </w:r>
    </w:p>
    <w:p>
      <w:pPr>
        <w:sectPr>
          <w:pgSz w:w="16834" w:h="11909" w:orient="landscape"/>
          <w:pgMar w:top="792" w:right="792" w:bottom="792" w:left="792" w:header="720" w:footer="720" w:gutter="0"/>
          <w:cols w:space="720"/>
          <w:docGrid w:linePitch="360"/>
        </w:sectPr>
      </w:pPr>
    </w:p>
    <w:p>
      <w:pPr>
        <w:pStyle w:val="Heading1"/>
      </w:pPr>
      <w:r>
        <w:t>Phase 1 addendum M24 Desired State and Configuration Drift engine</w:t>
      </w:r>
    </w:p>
    <w:p>
      <w:pPr>
        <w:spacing w:after="120" w:line="252" w:lineRule="auto"/>
      </w:pPr>
      <w:r>
        <w:t>Version 7.1 addition dated 1 November 2026. This addendum adds one engine to the complete application plan. M01 to M23 retain their existing requirements. M24 is required Phase 1 scope and is delivered once its foundation, ITSM, change approval and response execution dependencies are accepted. Where earlier counts describe 23 engines or settings catalogues, they describe the original baseline; the register at version 7.1 contained 24 engines; version 7.2 adds Phase 1 M25 as the twenty fifth engine.</w:t>
      </w:r>
    </w:p>
    <w:p>
      <w:pPr>
        <w:pStyle w:val="Heading2"/>
      </w:pPr>
      <w:r>
        <w:t>Purpose and required behaviour</w:t>
      </w:r>
    </w:p>
    <w:p>
      <w:pPr>
        <w:spacing w:after="120" w:line="252" w:lineRule="auto"/>
      </w:pPr>
      <w:r>
        <w:rPr>
          <w:sz w:val="20"/>
        </w:rPr>
        <w:t>Orca shall maintain an approved, versioned desired configuration for selected Azure and Microsoft 365 resources and policies, including supported Microsoft Purview and Microsoft Defender configuration. It shall collect actual configuration on a default 15 minute schedule, compare managed properties against the active approved baseline, and apply the configured Report or Revert action. Desired configuration here means external cloud configuration; it is distinct from the tenant engine On or Off state already defined in this specification.</w:t>
      </w:r>
    </w:p>
    <w:p>
      <w:pPr>
        <w:pStyle w:val="ListBullet"/>
        <w:spacing w:after="120" w:line="252" w:lineRule="auto"/>
      </w:pPr>
      <w:r>
        <w:rPr>
          <w:sz w:val="20"/>
        </w:rPr>
        <w:t>Report: create or update an ITSM drift ticket with the configuration difference and notify the configured recipients. Do not modify the provider configuration.</w:t>
      </w:r>
    </w:p>
    <w:p>
      <w:pPr>
        <w:pStyle w:val="ListBullet"/>
        <w:spacing w:after="120" w:line="252" w:lineRule="auto"/>
      </w:pPr>
      <w:r>
        <w:rPr>
          <w:sz w:val="20"/>
        </w:rPr>
        <w:t>Revert: create or durably register the drift ticket first, restore the approved configuration through an authorised adapter, record every attempt, and independently read back the result. Update and close the ticket only after verification proves that the managed scope matches the approved baseline.</w:t>
      </w:r>
    </w:p>
    <w:p>
      <w:pPr>
        <w:pStyle w:val="ListBullet"/>
        <w:spacing w:after="120" w:line="252" w:lineRule="auto"/>
      </w:pPr>
      <w:r>
        <w:rPr>
          <w:sz w:val="20"/>
        </w:rPr>
        <w:t>Adopt an intentional change: an authorised user records what changed and why, scans the selected scope, reviews the difference, and promotes the captured configuration as a new approved baseline. Subsequent scans compare against that version.</w:t>
      </w:r>
    </w:p>
    <w:p>
      <w:pPr>
        <w:pStyle w:val="Heading2"/>
      </w:pPr>
      <w:r>
        <w:t>Delivery ownership and dependencies</w:t>
      </w:r>
    </w:p>
    <w:p>
      <w:pPr>
        <w:spacing w:after="120" w:line="252" w:lineRule="auto"/>
      </w:pPr>
      <w:r>
        <w:rPr>
          <w:sz w:val="20"/>
        </w:rPr>
        <w:t>M24 owns baselines, observations, differences and drift episodes. M21 owns ticket lifecycle; M13 owns change approval; M12 owns authorised external execution and receipts; M16 owns notifications and adapter extension; M02 owns permissions; M03 provides eligible attachments and evidence. Reuse M07 inventory where appropriate without making inventory a source of configuration authority. M05 and M06 incident ingestion do not imply permission to modify Sentinel or Defender configuration.</w:t>
      </w:r>
    </w:p>
    <w:p>
      <w:pPr>
        <w:spacing w:after="120" w:line="252" w:lineRule="auto"/>
      </w:pPr>
      <w:r>
        <w:rPr>
          <w:sz w:val="20"/>
        </w:rPr>
        <w:t>Enablement requires working ITSM intake, audit, scoped provider identity and tested read capabilities. Revert additionally requires response execution, explicit write consent and an accepted reversible action for each resource type. No autonomous AI decision may promote a baseline or authorise reversion.</w:t>
      </w:r>
    </w:p>
    <w:p>
      <w:pPr>
        <w:spacing w:after="120" w:line="252" w:lineRule="auto"/>
      </w:pPr>
      <w:r>
        <w:rPr>
          <w:sz w:val="20"/>
        </w:rPr>
        <w:br w:type="page"/>
      </w:r>
    </w:p>
    <w:p>
      <w:pPr>
        <w:pStyle w:val="Heading1"/>
      </w:pPr>
      <w:r>
        <w:t>M24 configuration scope and provider adapters</w:t>
      </w:r>
    </w:p>
    <w:p>
      <w:pPr>
        <w:pStyle w:val="Heading2"/>
      </w:pPr>
      <w:r>
        <w:t>Coverage must be explicit</w:t>
      </w:r>
    </w:p>
    <w:p>
      <w:pPr>
        <w:spacing w:after="120" w:line="252" w:lineRule="auto"/>
      </w:pPr>
      <w:r>
        <w:rPr>
          <w:sz w:val="20"/>
        </w:rPr>
        <w:t>Use a capability register per provider resource type and property. Record read, compare, capture, write, create, delete and verification support separately, together with API version, cloud edition, licensing, permissions, pagination, throttling, exclusions and evidence of testing. A resource being visible in a portal does not prove that it can be read or restored programmatically.</w:t>
      </w:r>
    </w:p>
    <w:p>
      <w:pPr>
        <w:pStyle w:val="ListBullet"/>
        <w:spacing w:after="120" w:line="252" w:lineRule="auto"/>
      </w:pPr>
      <w:r>
        <w:rPr>
          <w:sz w:val="20"/>
        </w:rPr>
        <w:t>Azure: use resource provider APIs and approved ARM or Bicep artefacts where suitable. Cover selected resource properties, network and security settings, diagnostic settings and policy definitions or assignments only when the adapter supports them. Treat data plane settings separately from control plane configuration.</w:t>
      </w:r>
    </w:p>
    <w:p>
      <w:pPr>
        <w:pStyle w:val="ListBullet"/>
        <w:spacing w:after="120" w:line="252" w:lineRule="auto"/>
      </w:pPr>
      <w:r>
        <w:rPr>
          <w:sz w:val="20"/>
        </w:rPr>
        <w:t>Microsoft 365 and Entra: evaluate Microsoft Graph Tenant Configuration Management capabilities and workload APIs. Use supported workload PowerShell or Microsoft365DSC adapters only where needed and operationally validated. Orca remains responsible for schedule, ticketing, approval and remediation verification.</w:t>
      </w:r>
    </w:p>
    <w:p>
      <w:pPr>
        <w:pStyle w:val="ListBullet"/>
        <w:spacing w:after="120" w:line="252" w:lineRule="auto"/>
      </w:pPr>
      <w:r>
        <w:rPr>
          <w:sz w:val="20"/>
        </w:rPr>
        <w:t>Purview and Defender: enumerate supported policy and configuration types individually. Compliance policies, retention settings and security policies may use different APIs and identities; no single ARM template is assumed to cover them.</w:t>
      </w:r>
    </w:p>
    <w:p>
      <w:pPr>
        <w:pStyle w:val="Heading2"/>
      </w:pPr>
      <w:r>
        <w:t>Baseline representation and comparison</w:t>
      </w:r>
    </w:p>
    <w:p>
      <w:pPr>
        <w:spacing w:after="120" w:line="252" w:lineRule="auto"/>
      </w:pPr>
      <w:r>
        <w:rPr>
          <w:sz w:val="20"/>
        </w:rPr>
        <w:t>Store an immutable canonical configuration snapshot with provider object identifiers, selected property paths, schema and adapter versions, dependency references and a content hash. ARM or Bicep is an optional import or execution format, not a universal backup or drift detector. Validate exports against fresh API reads; exported templates may omit unsupported properties or values.</w:t>
      </w:r>
    </w:p>
    <w:p>
      <w:pPr>
        <w:spacing w:after="120" w:line="252" w:lineRule="auto"/>
      </w:pPr>
      <w:r>
        <w:rPr>
          <w:sz w:val="20"/>
        </w:rPr>
        <w:t>Normalise only documented nonsemantic differences such as unordered sets. Exclude timestamps, provisioning status and generated runtime values through explicit rules. Distinguish null, missing and inaccessible fields. Mask secrets and retain secret references rather than plaintext. Record each exclusion and unsupported field so coverage is visible.</w:t>
      </w:r>
    </w:p>
    <w:p>
      <w:pPr>
        <w:spacing w:after="120" w:line="252" w:lineRule="auto"/>
      </w:pPr>
      <w:r>
        <w:rPr>
          <w:sz w:val="20"/>
        </w:rPr>
        <w:t>Detect changed properties, missing managed objects and unexpected objects within explicitly governed collections. A new object is a reviewable drift; do not delete it automatically without a separately approved exact deletion policy. Missing objects require a tested recreation workflow; otherwise report them. Configuration restoration does not restore lost business data.</w:t>
      </w:r>
    </w:p>
    <w:p>
      <w:pPr>
        <w:pStyle w:val="Heading2"/>
      </w:pPr>
      <w:r>
        <w:t>Authoritative sources and competing automation</w:t>
      </w:r>
    </w:p>
    <w:p>
      <w:pPr>
        <w:spacing w:after="120" w:line="252" w:lineRule="auto"/>
      </w:pPr>
      <w:r>
        <w:rPr>
          <w:sz w:val="20"/>
        </w:rPr>
        <w:t>Record whether Orca or an external infrastructure pipeline owns each property set. Do not run conflicting controllers over the same settings. For pipeline-owned resources, remediation should invoke an approved pipeline or update the approved source of truth; adopting live state must reconcile that source before promotion.</w:t>
      </w:r>
    </w:p>
    <w:p>
      <w:pPr>
        <w:spacing w:after="120" w:line="252" w:lineRule="auto"/>
      </w:pPr>
      <w:r>
        <w:rPr>
          <w:sz w:val="20"/>
        </w:rPr>
        <w:br w:type="page"/>
      </w:r>
    </w:p>
    <w:p>
      <w:pPr>
        <w:pStyle w:val="Heading1"/>
      </w:pPr>
      <w:r>
        <w:t>M24 tenant settings and user experience</w:t>
      </w:r>
    </w:p>
    <w:p>
      <w:pPr>
        <w:pStyle w:val="Heading2"/>
      </w:pPr>
      <w:r>
        <w:t>Engine settings section</w:t>
      </w:r>
    </w:p>
    <w:p>
      <w:pPr>
        <w:spacing w:after="120" w:line="252" w:lineRule="auto"/>
      </w:pPr>
      <w:r>
        <w:rPr>
          <w:sz w:val="20"/>
        </w:rPr>
        <w:t>Add M24 to Tenant Settings using the same On or Off controls, dependency review, generation checks, audit and dark or light theme conventions as other optional engines. Default Off until onboarding is accepted. Display Phase 1 in the delivery register; show production capability based on actual release availability.</w:t>
      </w:r>
    </w:p>
    <w:p>
      <w:pPr>
        <w:pStyle w:val="ListBullet"/>
        <w:spacing w:after="120" w:line="252" w:lineRule="auto"/>
      </w:pPr>
      <w:r>
        <w:rPr>
          <w:sz w:val="20"/>
        </w:rPr>
        <w:t>General: enabled state, environment, provider connections, monitored scope, owner, ticket assignment group, notification recipients and evidence retention under existing custody policy.</w:t>
      </w:r>
    </w:p>
    <w:p>
      <w:pPr>
        <w:pStyle w:val="ListBullet"/>
        <w:spacing w:after="120" w:line="252" w:lineRule="auto"/>
      </w:pPr>
      <w:r>
        <w:rPr>
          <w:sz w:val="20"/>
        </w:rPr>
        <w:t>Scanning: default interval 15 minutes, next scheduled run, last attempted and last successful scan, coverage completeness, freshness, duration, backlog and connector health. Interval changes require permission and provider capacity validation.</w:t>
      </w:r>
    </w:p>
    <w:p>
      <w:pPr>
        <w:pStyle w:val="ListBullet"/>
        <w:spacing w:after="120" w:line="252" w:lineRule="auto"/>
      </w:pPr>
      <w:r>
        <w:rPr>
          <w:sz w:val="20"/>
        </w:rPr>
        <w:t>Policies: Report or Revert per scope or property set; Report is the onboarding default. Show active baseline version, exclusions, verification timeout, bounded retry policy and approved remediation action. Resolve overlap deterministically: a specific Report rule or exemption prevents a broader Revert rule from writing that scope.</w:t>
      </w:r>
    </w:p>
    <w:p>
      <w:pPr>
        <w:pStyle w:val="ListBullet"/>
        <w:spacing w:after="120" w:line="252" w:lineRule="auto"/>
      </w:pPr>
      <w:r>
        <w:rPr>
          <w:sz w:val="20"/>
        </w:rPr>
        <w:t>Changes: approved change window, expiry, affected resources and properties, linked M13 reference, justification, baseline promotion approvers and expiry behaviour. Never silently convert a temporary exception into a permanent baseline.</w:t>
      </w:r>
    </w:p>
    <w:p>
      <w:pPr>
        <w:pStyle w:val="Heading2"/>
      </w:pPr>
      <w:r>
        <w:t>Screens and actions</w:t>
      </w:r>
    </w:p>
    <w:p>
      <w:pPr>
        <w:spacing w:after="120" w:line="252" w:lineRule="auto"/>
      </w:pPr>
      <w:r>
        <w:rPr>
          <w:sz w:val="20"/>
        </w:rPr>
        <w:t>Provide Overview, Managed Scope, Baselines, Drift and Tickets, Change Windows, Run History and Audit views. Show compliance, stale and unknown states separately. A failed scan must never appear as compliant. Each drift view shows approved value, observed value, detection time, baseline version, action, ticket link and verification outcome.</w:t>
      </w:r>
    </w:p>
    <w:p>
      <w:pPr>
        <w:spacing w:after="120" w:line="252" w:lineRule="auto"/>
      </w:pPr>
      <w:r>
        <w:rPr>
          <w:sz w:val="20"/>
        </w:rPr>
        <w:t>Actions include Scan now, Capture current state, Review baseline candidate, Approve and activate, Open ticket, Retry permitted remediation, Pause remediation and Disable engine. Confirmation for Revert must show exact scope, action and required write permissions. Show a clear warning when a change window will expire while configuration differs from the active baseline.</w:t>
      </w:r>
    </w:p>
    <w:p>
      <w:pPr>
        <w:pStyle w:val="Heading2"/>
      </w:pPr>
      <w:r>
        <w:t>Permissions and navigation</w:t>
      </w:r>
    </w:p>
    <w:p>
      <w:pPr>
        <w:spacing w:after="120" w:line="252" w:lineRule="auto"/>
      </w:pPr>
      <w:r>
        <w:rPr>
          <w:sz w:val="20"/>
        </w:rPr>
        <w:t>Proposed M02 permissions are DesiredState.View, Configure, Scan, CaptureBaseline, ApproveBaseline, EnableRevert, ExecuteRemediation and ManageException. Map these into the existing matrix; enforce tenant membership, scope and separation of duties. A capture operator cannot approve their own baseline. Hide the entire module, inaccessible tabs and empty navigation groups when no relevant permission exists. Apply identical server checks to routes, APIs, background jobs and exports.</w:t>
      </w:r>
    </w:p>
    <w:p>
      <w:pPr>
        <w:spacing w:after="120" w:line="252" w:lineRule="auto"/>
      </w:pPr>
      <w:r>
        <w:rPr>
          <w:sz w:val="20"/>
        </w:rPr>
        <w:t>Off stops new scans and new remediation dispatch. Reconcile already accepted external actions and preserve their receipts and tickets. Pause remediation keeps scanning and ticket creation active. ReadOnly, Suspended and Quarantined states follow the existing foundation mutation and access restrictions.</w:t>
      </w:r>
    </w:p>
    <w:p>
      <w:pPr>
        <w:spacing w:after="120" w:line="252" w:lineRule="auto"/>
      </w:pPr>
      <w:r>
        <w:rPr>
          <w:sz w:val="20"/>
        </w:rPr>
        <w:br w:type="page"/>
      </w:r>
    </w:p>
    <w:p>
      <w:pPr>
        <w:pStyle w:val="Heading1"/>
      </w:pPr>
      <w:r>
        <w:t>M24 approved baseline capture and change workflow</w:t>
      </w:r>
    </w:p>
    <w:p>
      <w:pPr>
        <w:pStyle w:val="Heading2"/>
      </w:pPr>
      <w:r>
        <w:t>Initial onboarding</w:t>
      </w:r>
    </w:p>
    <w:p>
      <w:pPr>
        <w:spacing w:after="120" w:line="252" w:lineRule="auto"/>
      </w:pPr>
      <w:r>
        <w:rPr>
          <w:sz w:val="20"/>
        </w:rPr>
        <w:t>Discover scoped resources, validate connector permissions and capture a complete observation. Present included properties and gaps. An authorised reviewer approves the candidate, establishing baseline version 1. Until activation, show Not baselined and prohibit automatic reversion. Start in Report and demonstrate the difference and ticket workflow before explicitly enabling Revert.</w:t>
      </w:r>
    </w:p>
    <w:p>
      <w:pPr>
        <w:pStyle w:val="Heading2"/>
      </w:pPr>
      <w:r>
        <w:t>Intentional changes and promotion</w:t>
      </w:r>
    </w:p>
    <w:p>
      <w:pPr>
        <w:spacing w:after="120" w:line="252" w:lineRule="auto"/>
      </w:pPr>
      <w:r>
        <w:rPr>
          <w:sz w:val="20"/>
        </w:rPr>
        <w:t>1. Record a linked change reference, resource scope, reason, expected difference, implementer and time window. If Revert is active, obtain a scoped temporary remediation pause before changing the provider configuration. Continue scanning and recording differences during the window.</w:t>
      </w:r>
    </w:p>
    <w:p>
      <w:pPr>
        <w:spacing w:after="120" w:line="252" w:lineRule="auto"/>
      </w:pPr>
      <w:r>
        <w:rPr>
          <w:sz w:val="20"/>
        </w:rPr>
        <w:t>2. The user makes the Azure, Purview, Defender or other supported workload change. Select Capture current state as new baseline and enter the change details. Perform a new scan of the named scope; do not use an old dashboard snapshot.</w:t>
      </w:r>
    </w:p>
    <w:p>
      <w:pPr>
        <w:spacing w:after="120" w:line="252" w:lineRule="auto"/>
      </w:pPr>
      <w:r>
        <w:rPr>
          <w:sz w:val="20"/>
        </w:rPr>
        <w:t>3. Produce an immutable candidate with before and after values, source identifiers, observation timestamps, excluded properties and coverage warnings. Permit selective adoption of intended properties so unrelated changes are not accidentally approved. Reject incomplete reads of required properties.</w:t>
      </w:r>
    </w:p>
    <w:p>
      <w:pPr>
        <w:spacing w:after="120" w:line="252" w:lineRule="auto"/>
      </w:pPr>
      <w:r>
        <w:rPr>
          <w:sz w:val="20"/>
        </w:rPr>
        <w:t>4. An independently authorised approver reviews the candidate and linked change. Approval binds the tenant, scope, candidate hash, previous baseline version and expiry. Recheck live managed properties immediately before activation; if the candidate has changed or the active baseline advanced, require a fresh review.</w:t>
      </w:r>
    </w:p>
    <w:p>
      <w:pPr>
        <w:spacing w:after="120" w:line="252" w:lineRule="auto"/>
      </w:pPr>
      <w:r>
        <w:rPr>
          <w:sz w:val="20"/>
        </w:rPr>
        <w:t>5. Atomically activate the new baseline version and invalidate queued remediation plans bound to the old version. Retain all earlier versions. Link affected drift tickets to the approved change and record their resolution as Approved baseline change, without claiming configuration was reverted.</w:t>
      </w:r>
    </w:p>
    <w:p>
      <w:pPr>
        <w:spacing w:after="120" w:line="252" w:lineRule="auto"/>
      </w:pPr>
      <w:r>
        <w:rPr>
          <w:sz w:val="20"/>
        </w:rPr>
        <w:t>6. End the scoped pause, scan again against the newly active version and resume policy enforcement. A failed activation leaves the old baseline active. At window expiry without an approved replacement, resume the existing Report or Revert policy and alert the owner; surface this behaviour when granting the pause.</w:t>
      </w:r>
    </w:p>
    <w:p>
      <w:pPr>
        <w:pStyle w:val="Heading2"/>
      </w:pPr>
      <w:r>
        <w:t>Concurrency and history</w:t>
      </w:r>
    </w:p>
    <w:p>
      <w:pPr>
        <w:spacing w:after="120" w:line="252" w:lineRule="auto"/>
      </w:pPr>
      <w:r>
        <w:rPr>
          <w:sz w:val="20"/>
        </w:rPr>
        <w:t>Baseline promotion and external remediation must share a scope lease or equivalent fencing mechanism. Promotion waits for an in-flight accepted write to reach a known reconciled state; remediation rechecks the baseline version and generation immediately before dispatch. Do not allow a stale queued command to restore an obsolete baseline after promotion.</w:t>
      </w:r>
    </w:p>
    <w:p>
      <w:pPr>
        <w:spacing w:after="120" w:line="252" w:lineRule="auto"/>
      </w:pPr>
      <w:r>
        <w:rPr>
          <w:sz w:val="20"/>
        </w:rPr>
        <w:t>Rolling back a baseline creates a new approved version referencing the selected historic configuration. Do not overwrite history. Preserve author, approver, reason, change reference, timestamps, hashes and old and new values in the audit trail, with existing customer business-record and private-note custody separation.</w:t>
      </w:r>
    </w:p>
    <w:p>
      <w:pPr>
        <w:spacing w:after="120" w:line="252" w:lineRule="auto"/>
      </w:pPr>
      <w:r>
        <w:rPr>
          <w:sz w:val="20"/>
        </w:rPr>
        <w:br w:type="page"/>
      </w:r>
    </w:p>
    <w:p>
      <w:pPr>
        <w:pStyle w:val="Heading1"/>
      </w:pPr>
      <w:r>
        <w:t>M24 scanning remediation and ticket lifecycle</w:t>
      </w:r>
    </w:p>
    <w:p>
      <w:pPr>
        <w:pStyle w:val="Heading2"/>
      </w:pPr>
      <w:r>
        <w:t>Polling and observation rules</w:t>
      </w:r>
    </w:p>
    <w:p>
      <w:pPr>
        <w:spacing w:after="120" w:line="252" w:lineRule="auto"/>
      </w:pPr>
      <w:r>
        <w:rPr>
          <w:sz w:val="20"/>
        </w:rPr>
        <w:t>Schedule each enrolled scope every 15 minutes by default with tenant partitioning, distributed leases and jitter. This is a polling cadence, not a guarantee of detection or restoration within 15 minutes: scan duration, API limits, missed runs and provider convergence affect completion. Surface overdue scans and freshness breaches. Event notifications may accelerate checks but do not replace scheduled reconciliation.</w:t>
      </w:r>
    </w:p>
    <w:p>
      <w:pPr>
        <w:spacing w:after="120" w:line="252" w:lineRule="auto"/>
      </w:pPr>
      <w:r>
        <w:rPr>
          <w:sz w:val="20"/>
        </w:rPr>
        <w:t>Use complete paginated reads, provider retry guidance and bounded backoff. Partial reads, permission failures or throttling yield Unknown or Degraded, never a fabricated deletion. Compare only complete validated scope. Record the observation interval; reconfirm the relevant properties before remediation because cloud observations are not necessarily atomic.</w:t>
      </w:r>
    </w:p>
    <w:p>
      <w:pPr>
        <w:pStyle w:val="Heading2"/>
      </w:pPr>
      <w:r>
        <w:t>Drift and mandatory tickets</w:t>
      </w:r>
    </w:p>
    <w:p>
      <w:pPr>
        <w:spacing w:after="120" w:line="252" w:lineRule="auto"/>
      </w:pPr>
      <w:r>
        <w:rPr>
          <w:sz w:val="20"/>
        </w:rPr>
        <w:t>Assign a stable drift episode key from tenant, scope, baseline version and normalised difference. Create one ticket per active episode and update it on repeated scans rather than issuing a ticket every 15 minutes. A materially new difference adds evidence or a related episode; recurrence after verified closure creates a new linked ticket. Keep notification deduplication separate from the mandatory ticket record.</w:t>
      </w:r>
    </w:p>
    <w:p>
      <w:pPr>
        <w:spacing w:after="120" w:line="252" w:lineRule="auto"/>
      </w:pPr>
      <w:r>
        <w:rPr>
          <w:sz w:val="20"/>
        </w:rPr>
        <w:t>Ticket evidence includes tenant, environment, provider object, affected properties, masked before and after values, first and last detection, baseline version, policy, scan receipt, severity, owner, change reference and any attributable actor with audit source and confidence. If attribution is unavailable, say Unknown; do not infer a person from timing alone.</w:t>
      </w:r>
    </w:p>
    <w:p>
      <w:pPr>
        <w:pStyle w:val="Heading2"/>
      </w:pPr>
      <w:r>
        <w:t>Revert execution and closure</w:t>
      </w:r>
    </w:p>
    <w:p>
      <w:pPr>
        <w:spacing w:after="120" w:line="252" w:lineRule="auto"/>
      </w:pPr>
      <w:r>
        <w:rPr>
          <w:sz w:val="20"/>
        </w:rPr>
        <w:t>Persist the ticket identity and drift evidence through the existing trusted commit mechanism before external dispatch. If ITSM is unavailable, retain durable retry work and stop automatic writes until ticket registration succeeds. An integration outage must not erase evidence or permit an untracked corrective action.</w:t>
      </w:r>
    </w:p>
    <w:p>
      <w:pPr>
        <w:spacing w:after="120" w:line="252" w:lineRule="auto"/>
      </w:pPr>
      <w:r>
        <w:rPr>
          <w:sz w:val="20"/>
        </w:rPr>
        <w:t>Build a narrow idempotent restoration plan; validate provider identity, tenant state, current entitlement, consent, approval, baseline generation, scope, exclusions and change window. Acquire the scope lease, reread configuration, and use provider concurrency tokens where available. If state changed unexpectedly, discard the plan and compare again.</w:t>
      </w:r>
    </w:p>
    <w:p>
      <w:pPr>
        <w:spacing w:after="120" w:line="252" w:lineRule="auto"/>
      </w:pPr>
      <w:r>
        <w:rPr>
          <w:sz w:val="20"/>
        </w:rPr>
        <w:t>Execute through M12 with a unique operation key and durable receipt. A successful API response means only that an operation was accepted or completed by the provider. Poll asynchronous operations and independently read back all relevant managed properties, including affected dependencies. Use bounded verification for eventual consistency.</w:t>
      </w:r>
    </w:p>
    <w:p>
      <w:pPr>
        <w:spacing w:after="120" w:line="252" w:lineRule="auto"/>
      </w:pPr>
      <w:r>
        <w:rPr>
          <w:sz w:val="20"/>
        </w:rPr>
        <w:t>On verified match, update the ticket with the difference, corrective action, receipts, before and after evidence and verification time. Close through the M21 lifecycle with resolution Configuration reverted to approved baseline. This engine may auto-close that ticket class only after its required resolution and closure fields and workflow guards are satisfied.</w:t>
      </w:r>
    </w:p>
    <w:p>
      <w:pPr>
        <w:spacing w:after="120" w:line="252" w:lineRule="auto"/>
      </w:pPr>
      <w:r>
        <w:rPr>
          <w:sz w:val="20"/>
        </w:rPr>
        <w:t>On failed, partial, timed out or uncertain remediation, keep the ticket open and escalate; use Undetermined semantics for unknown outcomes. Reconcile before retrying. Stop repeated flapping through a configurable circuit breaker and route recurring drift into Problem Management. Never report success solely because a write was attempted.</w:t>
      </w:r>
    </w:p>
    <w:p>
      <w:pPr>
        <w:spacing w:after="120" w:line="252" w:lineRule="auto"/>
      </w:pPr>
      <w:r>
        <w:rPr>
          <w:sz w:val="20"/>
        </w:rPr>
        <w:br w:type="page"/>
      </w:r>
    </w:p>
    <w:p>
      <w:pPr>
        <w:pStyle w:val="Heading1"/>
      </w:pPr>
      <w:r>
        <w:t>M24 developer contracts safety and acceptance</w:t>
      </w:r>
    </w:p>
    <w:p>
      <w:pPr>
        <w:pStyle w:val="Heading2"/>
      </w:pPr>
      <w:r>
        <w:t>Proposed implementation contracts</w:t>
      </w:r>
    </w:p>
    <w:p>
      <w:pPr>
        <w:spacing w:after="120" w:line="252" w:lineRule="auto"/>
      </w:pPr>
      <w:r>
        <w:rPr>
          <w:sz w:val="20"/>
        </w:rPr>
        <w:t>BaselineVersion holds tenant, scope, version, predecessor, canonical state hash, adapter schema, source artefact, capturedAt, capturedBy, approvedBy, approval reference and activation generation. Observation holds run ID, scope, startedAt, completedAt, completeness, source versions and masked snapshot reference. DriftEpisode links the difference hash, baseline version, first and last seen, action policy, ticket ID and state. RemediationAttempt links plan hash, fencing token, idempotency key, authority receipt, provider operation ID and verification evidence. ChangeWindow binds scope, expiry, reason and M13 reference. Apply the existing trusted store and custody rules; do not add a new unrestricted operator copy of customer configuration.</w:t>
      </w:r>
    </w:p>
    <w:p>
      <w:pPr>
        <w:spacing w:after="120" w:line="252" w:lineRule="auto"/>
      </w:pPr>
      <w:r>
        <w:rPr>
          <w:sz w:val="20"/>
        </w:rPr>
        <w:t>Proposed application commands are RequestScan, CaptureBaselineCandidate, ApproveBaselineCandidate, ActivateBaseline, SetDriftPolicy, GrantChangeWindow and RequestRemediation. All carry authenticated principal, tenant scope, expected generation and idempotency key. Collection adapters expose Read, Normalise, Compare, PlanRestore, Apply and Verify capabilities. These are internal contracts to refine during detailed design, not promises of provider endpoint coverage.</w:t>
      </w:r>
    </w:p>
    <w:p>
      <w:pPr>
        <w:pStyle w:val="Heading2"/>
      </w:pPr>
      <w:r>
        <w:t>Write boundaries</w:t>
      </w:r>
    </w:p>
    <w:p>
      <w:pPr>
        <w:spacing w:after="120" w:line="252" w:lineRule="auto"/>
      </w:pPr>
      <w:r>
        <w:rPr>
          <w:sz w:val="20"/>
        </w:rPr>
        <w:t>Use separate least-privilege collection and remediation identities where feasible; store secrets in the approved vault and redact evidence. Explicitly authorise destructive, lockout-sensitive or irreversible actions. Conditional Access, privileged role assignments, retention and legal holds, deletion and network access changes require tested per-type rules and recovery paths; unsupported actions remain Report. Do not execute arbitrary uploaded ARM templates or PowerShell as trusted tenant input. Validate schemas, allowlisted operations and provider deployment previews where available.</w:t>
      </w:r>
    </w:p>
    <w:p>
      <w:pPr>
        <w:pStyle w:val="Heading2"/>
      </w:pPr>
      <w:r>
        <w:t>Required acceptance evidence</w:t>
      </w:r>
    </w:p>
    <w:p>
      <w:pPr>
        <w:pStyle w:val="ListBullet"/>
        <w:spacing w:after="120" w:line="252" w:lineRule="auto"/>
      </w:pPr>
      <w:r>
        <w:rPr>
          <w:sz w:val="20"/>
        </w:rPr>
        <w:t>M24 A01 A complete scope is scanned on the configured 15 minute cadence; missed or partial scans show stale or Unknown and cannot initiate reversion.</w:t>
      </w:r>
    </w:p>
    <w:p>
      <w:pPr>
        <w:pStyle w:val="ListBullet"/>
        <w:spacing w:after="120" w:line="252" w:lineRule="auto"/>
      </w:pPr>
      <w:r>
        <w:rPr>
          <w:sz w:val="20"/>
        </w:rPr>
        <w:t>M24 A02 Report detects a property difference, creates a ticket and notification, and performs no provider write. Repeated scans update the same active episode.</w:t>
      </w:r>
    </w:p>
    <w:p>
      <w:pPr>
        <w:pStyle w:val="ListBullet"/>
        <w:spacing w:after="120" w:line="252" w:lineRule="auto"/>
      </w:pPr>
      <w:r>
        <w:rPr>
          <w:sz w:val="20"/>
        </w:rPr>
        <w:t>M24 A03 Revert creates the ticket before dispatch, restores an approved supported property, verifies by fresh read, updates evidence and closes with the correct resolution.</w:t>
      </w:r>
    </w:p>
    <w:p>
      <w:pPr>
        <w:pStyle w:val="ListBullet"/>
        <w:spacing w:after="120" w:line="252" w:lineRule="auto"/>
      </w:pPr>
      <w:r>
        <w:rPr>
          <w:sz w:val="20"/>
        </w:rPr>
        <w:t>M24 A04 Failed, partial and uncertain writes keep tickets open. Lost responses and worker restarts do not duplicate an accepted action; ticket service outage blocks untracked remediation.</w:t>
      </w:r>
    </w:p>
    <w:p>
      <w:pPr>
        <w:pStyle w:val="ListBullet"/>
        <w:spacing w:after="120" w:line="252" w:lineRule="auto"/>
      </w:pPr>
      <w:r>
        <w:rPr>
          <w:sz w:val="20"/>
        </w:rPr>
        <w:t>M24 A05 A planned change can be paused by exact scope, freshly captured, independently approved and activated as the next baseline. Unrelated changes and partial captures cannot slip into approval.</w:t>
      </w:r>
    </w:p>
    <w:p>
      <w:pPr>
        <w:pStyle w:val="ListBullet"/>
        <w:spacing w:after="120" w:line="252" w:lineRule="auto"/>
      </w:pPr>
      <w:r>
        <w:rPr>
          <w:sz w:val="20"/>
        </w:rPr>
        <w:t>M24 A06 Concurrent baseline promotion cancels stale plans; in-flight writes are reconciled. Expired change windows return to the approved enforcement policy and notify the owner.</w:t>
      </w:r>
    </w:p>
    <w:p>
      <w:pPr>
        <w:pStyle w:val="ListBullet"/>
        <w:spacing w:after="120" w:line="252" w:lineRule="auto"/>
      </w:pPr>
      <w:r>
        <w:rPr>
          <w:sz w:val="20"/>
        </w:rPr>
        <w:t>M24 A07 Azure, Purview and Defender each demonstrate supported read, comparison and safe restore coverage independently. Unsupported and irreversible settings remain visible as coverage gaps.</w:t>
      </w:r>
    </w:p>
    <w:p>
      <w:pPr>
        <w:pStyle w:val="ListBullet"/>
        <w:spacing w:after="120" w:line="252" w:lineRule="auto"/>
      </w:pPr>
      <w:r>
        <w:rPr>
          <w:sz w:val="20"/>
        </w:rPr>
        <w:t>M24 A08 Tenant isolation, revoked permissions, engine Off, ReadOnly, Suspended, quarantine, secret redaction, hidden navigation and light or dark layouts follow foundation controls.</w:t>
      </w:r>
    </w:p>
    <w:p>
      <w:pPr>
        <w:spacing w:after="120" w:line="252" w:lineRule="auto"/>
      </w:pPr>
      <w:r>
        <w:rPr>
          <w:sz w:val="20"/>
        </w:rPr>
        <w:br w:type="page"/>
      </w:r>
    </w:p>
    <w:p>
      <w:pPr>
        <w:pStyle w:val="Heading1"/>
      </w:pPr>
      <w:r>
        <w:t>M24 Phase 1 delivery and provider research gates</w:t>
      </w:r>
    </w:p>
    <w:p>
      <w:pPr>
        <w:pStyle w:val="Heading2"/>
      </w:pPr>
      <w:r>
        <w:t>Delivery sequence within the existing programme</w:t>
      </w:r>
    </w:p>
    <w:p>
      <w:pPr>
        <w:spacing w:after="120" w:line="252" w:lineRule="auto"/>
      </w:pPr>
      <w:r>
        <w:t>M24 is delivered within Phase 1 after its required dependencies meet their acceptance gates; completion of unrelated engines is not a prerequisite. No duration or release date is committed by this addendum. Add M24 to the programme backlog and release dependency map without renumbering existing R00 to R12 milestones.</w:t>
      </w:r>
    </w:p>
    <w:p>
      <w:pPr>
        <w:pStyle w:val="ListBullet"/>
        <w:spacing w:after="120" w:line="252" w:lineRule="auto"/>
      </w:pPr>
      <w:r>
        <w:rPr>
          <w:sz w:val="20"/>
        </w:rPr>
        <w:t>P1 DS 01 Capability discovery: agree pilot scopes for Azure, Microsoft 365, Purview and Defender; prove exact APIs, cloud support, licensing, permission sets, throttling and property coverage. Deliver the capability register and safe action catalogue.</w:t>
      </w:r>
    </w:p>
    <w:p>
      <w:pPr>
        <w:pStyle w:val="ListBullet"/>
        <w:spacing w:after="120" w:line="252" w:lineRule="auto"/>
      </w:pPr>
      <w:r>
        <w:rPr>
          <w:sz w:val="20"/>
        </w:rPr>
        <w:t>P1 DS 02 Report pilot: implement tenant settings, versioned baseline capture, 15 minute collection, normalised differences, freshness health and mandatory M21 ticket creation. Demonstrate complete reads and restart recovery.</w:t>
      </w:r>
    </w:p>
    <w:p>
      <w:pPr>
        <w:pStyle w:val="ListBullet"/>
        <w:spacing w:after="120" w:line="252" w:lineRule="auto"/>
      </w:pPr>
      <w:r>
        <w:rPr>
          <w:sz w:val="20"/>
        </w:rPr>
        <w:t>P1 DS 03 Baseline governance: deliver change windows, candidate comparison, independent approval, selective adoption, activation fencing and immutable audit. Test the intentional-change workflow end to end.</w:t>
      </w:r>
    </w:p>
    <w:p>
      <w:pPr>
        <w:pStyle w:val="ListBullet"/>
        <w:spacing w:after="120" w:line="252" w:lineRule="auto"/>
      </w:pPr>
      <w:r>
        <w:rPr>
          <w:sz w:val="20"/>
        </w:rPr>
        <w:t>P1 DS 04 Revert pilot: enable only accepted reversible actions; deliver M12 receipts, concurrency guards, bounded verification, ticket auto-closure and circuit breakers. Validate recovery from partial and uncertain outcomes.</w:t>
      </w:r>
    </w:p>
    <w:p>
      <w:pPr>
        <w:pStyle w:val="ListBullet"/>
        <w:spacing w:after="120" w:line="252" w:lineRule="auto"/>
      </w:pPr>
      <w:r>
        <w:rPr>
          <w:sz w:val="20"/>
        </w:rPr>
        <w:t>P1 DS 05 Expansion and handoff: widen supported workload coverage after per-adapter acceptance. Publish operator, customer administrator and service desk guides; record monitoring targets, API capacity, runbooks and residual coverage gaps.</w:t>
      </w:r>
    </w:p>
    <w:p>
      <w:pPr>
        <w:pStyle w:val="Heading2"/>
      </w:pPr>
      <w:r>
        <w:t>Operational handoff</w:t>
      </w:r>
    </w:p>
    <w:p>
      <w:pPr>
        <w:spacing w:after="120" w:line="252" w:lineRule="auto"/>
      </w:pPr>
      <w:r>
        <w:rPr>
          <w:sz w:val="20"/>
        </w:rPr>
        <w:t>Dashboards shall show enrolled and unsupported resources, coverage percentage, compliant versus drifted versus unknown scope, open and recurring drift tickets, restoration success, verification failures, oldest observation and polling backlog. Measure detection and restoration latency separately. A global compliance percentage must disclose its denominator and excluded configuration.</w:t>
      </w:r>
    </w:p>
    <w:p>
      <w:pPr>
        <w:spacing w:after="120" w:line="252" w:lineRule="auto"/>
      </w:pPr>
      <w:r>
        <w:rPr>
          <w:sz w:val="20"/>
        </w:rPr>
        <w:t>Runbooks shall cover intentional changes, baseline promotion, failed writes, connector permission changes, provider outages, API schema changes, reconciliation after restore, engine shutdown, customer export and offboarding. A retired baseline remains audit evidence; secrets and private notes follow existing export and retention controls.</w:t>
      </w:r>
    </w:p>
    <w:p>
      <w:pPr>
        <w:pStyle w:val="Heading2"/>
      </w:pPr>
      <w:r>
        <w:t>Primary provider references reviewed on 1 November 2026</w:t>
      </w:r>
    </w:p>
    <w:p>
      <w:pPr>
        <w:spacing w:after="120" w:line="252" w:lineRule="auto"/>
      </w:pPr>
      <w:r>
        <w:rPr>
          <w:sz w:val="20"/>
        </w:rPr>
        <w:t>These references guide adapter selection. Revalidate exact endpoint support, release status and permissions at implementation; this addendum defines required Orca behaviour and does not assert universal provider remediation support.</w:t>
      </w:r>
    </w:p>
    <w:p>
      <w:pPr>
        <w:spacing w:after="120" w:line="252" w:lineRule="auto"/>
      </w:pPr>
      <w:r>
        <w:rPr>
          <w:sz w:val="20"/>
        </w:rPr>
        <w:t>Azure template export: https://learn.microsoft.com/en-us/azure/azure-resource-manager/templates/export-template-portal</w:t>
      </w:r>
    </w:p>
    <w:p>
      <w:pPr>
        <w:spacing w:after="120" w:line="252" w:lineRule="auto"/>
      </w:pPr>
      <w:r>
        <w:rPr>
          <w:sz w:val="20"/>
        </w:rPr>
        <w:t>Microsoft Graph Tenant Configuration Management: https://learn.microsoft.com/en-us/graph/unified-tenant-configuration-management-concept-overview</w:t>
      </w:r>
    </w:p>
    <w:p>
      <w:pPr>
        <w:spacing w:after="120" w:line="252" w:lineRule="auto"/>
      </w:pPr>
      <w:r>
        <w:rPr>
          <w:sz w:val="20"/>
        </w:rPr>
        <w:t>Microsoft Graph configuration management resource: https://learn.microsoft.com/en-us/graph/api/resources/configurationmanagement?view=graph-rest-1.0</w:t>
      </w:r>
    </w:p>
    <w:p>
      <w:pPr>
        <w:spacing w:after="120" w:line="252" w:lineRule="auto"/>
      </w:pPr>
      <w:r>
        <w:rPr>
          <w:sz w:val="20"/>
        </w:rPr>
        <w:t>Microsoft architecture reference for Microsoft365DSC: https://learn.microsoft.com/en-us/azure/architecture/example-scenario/devops/manage-microsoft-365-tenant-configuration-microsoft365dsc-devops</w:t>
      </w:r>
    </w:p>
    <w:p>
      <w:pPr>
        <w:spacing w:after="120" w:line="252" w:lineRule="auto"/>
      </w:pPr>
      <w:r>
        <w:rPr>
          <w:sz w:val="20"/>
        </w:rPr>
        <w:t>Microsoft365DSC drift monitoring and transition research: https://microsoft365dsc.com/user-guide/get-started/monitoring-drifts/ and https://microsoft365dsc.com/blog/2026/utcm-transition/utcm-transition/</w:t>
      </w:r>
    </w:p>
    <w:p>
      <w:r>
        <w:br w:type="page"/>
      </w:r>
    </w:p>
    <w:p>
      <w:pPr>
        <w:pStyle w:val="Heading1"/>
      </w:pPr>
      <w:r>
        <w:t>Phase 1 addendum M25 Incident and Request Template engine</w:t>
      </w:r>
    </w:p>
    <w:p>
      <w:pPr>
        <w:spacing w:after="120" w:line="252" w:lineRule="auto"/>
      </w:pPr>
      <w:r>
        <w:rPr>
          <w:sz w:val="20"/>
        </w:rPr>
        <w:t>Version 8.0 addition dated 3 November 2026. M25 is required Phase 1 scope, correcting the omission of reusable intake forms from the original plan. The complete engine register now contains 25 engines. Stable engine identifiers are retained: M25 is delivered in Phase 1; M24 Desired State and Configuration Drift remains Phase 1 alongside M25, subject to its required dependencies. Engine numbering does not determine delivery order.</w:t>
      </w:r>
    </w:p>
    <w:p>
      <w:pPr>
        <w:pStyle w:val="Heading2"/>
      </w:pPr>
      <w:r>
        <w:t>Purpose and required outcomes</w:t>
      </w:r>
    </w:p>
    <w:p>
      <w:pPr>
        <w:spacing w:after="120" w:line="252" w:lineRule="auto"/>
      </w:pPr>
      <w:r>
        <w:rPr>
          <w:sz w:val="20"/>
        </w:rPr>
        <w:t>Users shall search for a relevant template, select it, complete a guided form and submit a technical incident, service request or suspected security report. Authorised analysts shall also use appropriate templates to create M04 security incidents. Authorised template designers shall create, clone, test, publish, revise and retire templates without requiring code changes for ordinary field and layout changes.</w:t>
      </w:r>
    </w:p>
    <w:p>
      <w:pPr>
        <w:spacing w:after="120" w:line="252" w:lineRule="auto"/>
      </w:pPr>
      <w:r>
        <w:rPr>
          <w:sz w:val="20"/>
        </w:rPr>
        <w:t>These are submission templates with typed questions, instructions, defaults and validated mappings. They are distinct from notification templates, role templates, knowledge articles, remediation playbooks and M24 configuration baselines. Starter templates are Orca owned designs; no third party product or copied proprietary template library is required.</w:t>
      </w:r>
    </w:p>
    <w:p>
      <w:pPr>
        <w:pStyle w:val="Heading2"/>
      </w:pPr>
      <w:r>
        <w:t>Integration and record ownership</w:t>
      </w:r>
    </w:p>
    <w:p>
      <w:pPr>
        <w:spacing w:after="120" w:line="252" w:lineRule="auto"/>
      </w:pPr>
      <w:r>
        <w:rPr>
          <w:sz w:val="20"/>
        </w:rPr>
        <w:t>M25 owns template definitions, versions, publication and validation rules. M21 owns technical incidents, requests, SLA and ticket lifecycle. M04 owns authoritative security incidents. M23 presents customer forms. M02 owns access decisions; M03 owns eligible attachments; M09 owns routing where enabled; M16 owns notifications. Template selection cannot bypass any owning engine command, validation, identity or custody rule.</w:t>
      </w:r>
    </w:p>
    <w:p>
      <w:pPr>
        <w:spacing w:after="120" w:line="252" w:lineRule="auto"/>
      </w:pPr>
      <w:r>
        <w:rPr>
          <w:sz w:val="20"/>
        </w:rPr>
        <w:t>A Customer.Requester reporting phishing or another suspected security issue submits an M21 security report through M23, routed to a restricted security triage group. An authorised analyst creates or links the M04 incident with a typed relationship and authorised evidence transfer. Requesters see their permitted acknowledgement and public progress, not the SOC board or private investigation. Analysts with M04.Create can create an M04 incident directly using an analyst template.</w:t>
      </w:r>
    </w:p>
    <w:p>
      <w:pPr>
        <w:pStyle w:val="Heading2"/>
      </w:pPr>
      <w:r>
        <w:t>Phase 1 release gate</w:t>
      </w:r>
    </w:p>
    <w:p>
      <w:pPr>
        <w:spacing w:after="120" w:line="252" w:lineRule="auto"/>
      </w:pPr>
      <w:r>
        <w:rPr>
          <w:sz w:val="20"/>
        </w:rPr>
        <w:t>Deliver the M25 catalogue, field renderer, custom builder, publication controls, starter pack and submission integration with the corresponding Phase 1 ITSM and security intake releases. Accept the requester security triage route before enabling those templates. The template engine is not deferred to M24. It does not depend on AI, Sentinel or Defender feeds; manual intake remains available within accepted engine dependencies.</w:t>
      </w:r>
    </w:p>
    <w:p>
      <w:pPr>
        <w:spacing w:after="120" w:line="252" w:lineRule="auto"/>
      </w:pPr>
      <w:r>
        <w:rPr>
          <w:sz w:val="20"/>
        </w:rPr>
        <w:t>M25 Off hides the catalogue and blocks new template submissions while preserving published versions, drafts and historical records under existing access rules. Owning engines may retain their authorised generic creation forms. M21 or M04 Off removes templates targeting that engine. A requester security report requires its accepted M21 triage route; direct SOC creation additionally requires M04.</w:t>
      </w:r>
    </w:p>
    <w:p>
      <w:r>
        <w:br w:type="page"/>
      </w:r>
    </w:p>
    <w:p>
      <w:pPr>
        <w:pStyle w:val="Heading1"/>
      </w:pPr>
      <w:r>
        <w:t>M25 discovery guided forms and custom template design</w:t>
      </w:r>
    </w:p>
    <w:p>
      <w:pPr>
        <w:pStyle w:val="Heading2"/>
      </w:pPr>
      <w:r>
        <w:t>Find and use a template</w:t>
      </w:r>
    </w:p>
    <w:p>
      <w:pPr>
        <w:spacing w:after="120" w:line="252" w:lineRule="auto"/>
      </w:pPr>
      <w:r>
        <w:rPr>
          <w:sz w:val="20"/>
        </w:rPr>
        <w:t>Provide a searchable catalogue in Raise a request and Report a security concern, and a Use template option in the authorised analyst creation screens. Search name, description, category, tags and synonyms, for example printer, print or printing. Filter by ITSM, service request and security reporting. Show only published templates for the current tenant, audience and enabled target engine. Search counts, suggestions, favourites and recent items use the same filtering; never reveal hidden template names.</w:t>
      </w:r>
    </w:p>
    <w:p>
      <w:pPr>
        <w:spacing w:after="120" w:line="252" w:lineRule="auto"/>
      </w:pPr>
      <w:r>
        <w:rPr>
          <w:sz w:val="20"/>
        </w:rPr>
        <w:t>Each result shows a plain title, purpose and intended record type. Selecting a result opens a labelled form with sections, help text, required markers, examples and an accessible review step. Provide a permitted Other or Not sure route for issues without a matching template. Do not require users to diagnose the incident before reporting it. Search and completion must work without AI.</w:t>
      </w:r>
    </w:p>
    <w:p>
      <w:pPr>
        <w:spacing w:after="120" w:line="252" w:lineRule="auto"/>
      </w:pPr>
      <w:r>
        <w:rPr>
          <w:sz w:val="20"/>
        </w:rPr>
        <w:t>Allow save draft, resume, review and submit. A successful submission displays the owning record reference and permitted next steps. Validate again on the server at submission and prevent duplicate records when the user double taps or retries after a lost response. Attachments follow malware quarantine and content eligibility rules; security evidence links are rendered as inert text and never fetched automatically.</w:t>
      </w:r>
    </w:p>
    <w:p>
      <w:pPr>
        <w:pStyle w:val="Heading2"/>
      </w:pPr>
      <w:r>
        <w:t>Builder and field vocabulary</w:t>
      </w:r>
    </w:p>
    <w:p>
      <w:pPr>
        <w:spacing w:after="120" w:line="252" w:lineRule="auto"/>
      </w:pPr>
      <w:r>
        <w:rPr>
          <w:sz w:val="20"/>
        </w:rPr>
        <w:t>Provide Create template and Clone template actions with preview for requester and analyst audiences in light and dark mode. Configure name, description, category, tags, audience, tenant scope, record target, owner, routing group, active dates and ordered sections. Clone creates a distinct draft identity and never copies live submission data.</w:t>
      </w:r>
    </w:p>
    <w:p>
      <w:pPr>
        <w:spacing w:after="120" w:line="252" w:lineRule="auto"/>
      </w:pPr>
      <w:r>
        <w:rPr>
          <w:sz w:val="20"/>
        </w:rPr>
        <w:t>Support short and long text, single and multi select, yes or no, bounded numbers, date and time with timezone, approved user and asset references, URLs or email addresses, attachments and informational guidance. Each field has a stable key, label, type, help, order, default, visibility, required rule, length or value bounds, validation message and sensitivity classification. Dynamic lookup options must be tenant scoped and permission filtered.</w:t>
      </w:r>
    </w:p>
    <w:p>
      <w:pPr>
        <w:spacing w:after="120" w:line="252" w:lineRule="auto"/>
      </w:pPr>
      <w:r>
        <w:rPr>
          <w:sz w:val="20"/>
        </w:rPr>
        <w:t>Support declarative conditional sections and conditional required rules. Reject cyclic dependencies, incompatible field types, missing targets and conflicting rules on publication. Hidden or inaccessible fields cannot be required for that audience. Recompute visibility server side; discard hidden answers and disallowed payload keys instead of trusting browser state. Never silently lose visible entered answers when switching templates; warn, confirm and map compatible fields only.</w:t>
      </w:r>
    </w:p>
    <w:p>
      <w:pPr>
        <w:pStyle w:val="Heading2"/>
      </w:pPr>
      <w:r>
        <w:t>Mappings and workflow defaults</w:t>
      </w:r>
    </w:p>
    <w:p>
      <w:pPr>
        <w:spacing w:after="120" w:line="252" w:lineRule="auto"/>
      </w:pPr>
      <w:r>
        <w:rPr>
          <w:sz w:val="20"/>
        </w:rPr>
        <w:t>Map approved field keys to title, description, category, affected asset, impact, urgency and other allowlisted owning fields. Keep unmapped answers as typed form data accessible to authorised users and reports. Template defaults cannot set requester identity, tenant, approval, status, role, audit fields or private visibility. Derive the submitter from authentication. On behalf and department features remain optional and disabled by default.</w:t>
      </w:r>
    </w:p>
    <w:p>
      <w:pPr>
        <w:spacing w:after="120" w:line="252" w:lineRule="auto"/>
      </w:pPr>
      <w:r>
        <w:rPr>
          <w:sz w:val="20"/>
        </w:rPr>
        <w:t>Apply owner engine priority and SLA policy after validating impact and urgency. Suggested assignment is validated against active tenant groups; use a configured triage fallback when a group is unavailable. Templates cannot close incidents, grant access, execute actions or synchronise an incident to Microsoft merely by being submitted.</w:t>
      </w:r>
    </w:p>
    <w:p>
      <w:r>
        <w:br w:type="page"/>
      </w:r>
    </w:p>
    <w:p>
      <w:pPr>
        <w:pStyle w:val="Heading1"/>
      </w:pPr>
      <w:r>
        <w:t>M25 Phase 1 starter template catalogue</w:t>
      </w:r>
    </w:p>
    <w:p>
      <w:pPr>
        <w:spacing w:after="120" w:line="252" w:lineRule="auto"/>
      </w:pPr>
      <w:r>
        <w:rPr>
          <w:sz w:val="20"/>
        </w:rPr>
        <w:t>Deliver the following configurable seed templates. All forms include summary, description, affected service or asset if known, occurrence time with Unknown allowed, business impact, contact method and optional eligible evidence. Ask for available facts and permit Unknown where diagnosis is pending. Never ask for passwords, tokens or secret keys. Fields below supplement the common form.</w:t>
      </w:r>
    </w:p>
    <w:p>
      <w:pPr>
        <w:pStyle w:val="Heading2"/>
      </w:pPr>
      <w:r>
        <w:t>ITSM starter forms</w:t>
      </w:r>
    </w:p>
    <w:p>
      <w:pPr>
        <w:pStyle w:val="ListBullet"/>
        <w:spacing w:after="100"/>
      </w:pPr>
      <w:r>
        <w:rPr>
          <w:sz w:val="20"/>
        </w:rPr>
        <w:t>Printer not working — M21 technical incident. Printer or location, device or queue name if known, cannot print or quality or paper issue, error text, one or multiple users affected, when it last worked and checks already attempted. Required: location, symptom and impact. Route to the configured service desk or print support group.</w:t>
      </w:r>
    </w:p>
    <w:p>
      <w:pPr>
        <w:pStyle w:val="ListBullet"/>
        <w:spacing w:after="100"/>
      </w:pPr>
      <w:r>
        <w:rPr>
          <w:sz w:val="20"/>
        </w:rPr>
        <w:t>Network or VPN problem — M21 technical incident. Location, network type, affected application, VPN error, start time and number of affected users. Ask for VPN details only when VPN is selected. Route to network triage.</w:t>
      </w:r>
    </w:p>
    <w:p>
      <w:pPr>
        <w:pStyle w:val="ListBullet"/>
        <w:spacing w:after="100"/>
      </w:pPr>
      <w:r>
        <w:rPr>
          <w:sz w:val="20"/>
        </w:rPr>
        <w:t>Application or device fault — M21 technical incident. Service or device, symptom, error, reproducibility, recent change and scope of disruption. Route by affected service where an authorised mapping exists.</w:t>
      </w:r>
    </w:p>
    <w:p>
      <w:pPr>
        <w:pStyle w:val="ListBullet"/>
        <w:spacing w:after="100"/>
      </w:pPr>
      <w:r>
        <w:rPr>
          <w:sz w:val="20"/>
        </w:rPr>
        <w:t>Access or software request — M21 service request. Requested service or application, business reason, permission level or software needed, requested date and manager reference if policy requires it. Route through existing approval and fulfilment rules; submission does not grant access or install software.</w:t>
      </w:r>
    </w:p>
    <w:p>
      <w:pPr>
        <w:pStyle w:val="Heading2"/>
      </w:pPr>
      <w:r>
        <w:t>Security reporting starter forms</w:t>
      </w:r>
    </w:p>
    <w:p>
      <w:pPr>
        <w:pStyle w:val="ListBullet"/>
        <w:spacing w:after="100"/>
      </w:pPr>
      <w:r>
        <w:rPr>
          <w:sz w:val="20"/>
        </w:rPr>
        <w:t>Suspicious email or phishing — requester M21 security report. Sender, subject, received time, message reference, whether a link was clicked, attachment opened or credentials entered, affected account and safe evidence. Show extra questions conditionally. Route to restricted security triage; do not require forwarding a live malicious attachment into ordinary comments.</w:t>
      </w:r>
    </w:p>
    <w:p>
      <w:pPr>
        <w:pStyle w:val="ListBullet"/>
        <w:spacing w:after="100"/>
      </w:pPr>
      <w:r>
        <w:rPr>
          <w:sz w:val="20"/>
        </w:rPr>
        <w:t>Suspected account compromise — requester M21 security report. Affected account, unexpected sign ins or MFA prompts, time noticed, access lost, actions already taken and safe contact method. Route to security triage; do not request the password or MFA code.</w:t>
      </w:r>
    </w:p>
    <w:p>
      <w:pPr>
        <w:pStyle w:val="ListBullet"/>
        <w:spacing w:after="100"/>
      </w:pPr>
      <w:r>
        <w:rPr>
          <w:sz w:val="20"/>
        </w:rPr>
        <w:t>Malware or suspicious device activity — requester M21 security report. Device identifier or location, symptoms, alert text, detection time and connectivity status if known. Route to security triage. Display approved guidance; submission does not automatically isolate the device.</w:t>
      </w:r>
    </w:p>
    <w:p>
      <w:pPr>
        <w:pStyle w:val="ListBullet"/>
        <w:spacing w:after="100"/>
      </w:pPr>
      <w:r>
        <w:rPr>
          <w:sz w:val="20"/>
        </w:rPr>
        <w:t>Potential data exposure or lost device — requester M21 security report. Exposure or loss type, affected service or device, time, approximate data category and potentially affected people where known. Avoid uploading exposed personal data as proof; use authorised evidence handling and restricted triage.</w:t>
      </w:r>
    </w:p>
    <w:p>
      <w:pPr>
        <w:pStyle w:val="Heading2"/>
      </w:pPr>
      <w:r>
        <w:t>Analyst security incident forms</w:t>
      </w:r>
    </w:p>
    <w:p>
      <w:pPr>
        <w:spacing w:after="120" w:line="252" w:lineRule="auto"/>
      </w:pPr>
      <w:r>
        <w:rPr>
          <w:sz w:val="20"/>
        </w:rPr>
        <w:t>Provide analyst variants for phishing, account compromise, malware and suspected data exposure targeting M04. Add analyst validated severity, known entities, detection source, incident timeline, existing related records and evidence references. Optional ATTACK or control mapping uses the accepted catalogue when M08 is enabled; its absence must not block basic incident creation. Reporting a suspicion does not establish a confirmed compromise. Keep triage findings and requester narrative distinguishable.</w:t>
      </w:r>
    </w:p>
    <w:p>
      <w:pPr>
        <w:pStyle w:val="Heading2"/>
      </w:pPr>
      <w:r>
        <w:t>Detailed printer example</w:t>
      </w:r>
    </w:p>
    <w:p>
      <w:pPr>
        <w:spacing w:after="120" w:line="252" w:lineRule="auto"/>
      </w:pPr>
      <w:r>
        <w:rPr>
          <w:sz w:val="20"/>
        </w:rPr>
        <w:t>Searching print should return Printer not working. Selecting Paper jam shows the location and error questions; selecting Unable to connect shows queue or connection details. The user completes required visible fields and reviews the summary. Submission creates one M21 incident with template ID and version, typed answers, calculated priority and approved routing. The requester receives only the public record and its permitted attachments.</w:t>
      </w:r>
    </w:p>
    <w:p>
      <w:r>
        <w:br w:type="page"/>
      </w:r>
    </w:p>
    <w:p>
      <w:pPr>
        <w:pStyle w:val="Heading1"/>
      </w:pPr>
      <w:r>
        <w:t>M25 lifecycle tenant administration and security</w:t>
      </w:r>
    </w:p>
    <w:p>
      <w:pPr>
        <w:pStyle w:val="Heading2"/>
      </w:pPr>
      <w:r>
        <w:t>Template publication lifecycle</w:t>
      </w:r>
    </w:p>
    <w:p>
      <w:pPr>
        <w:spacing w:after="120" w:line="252" w:lineRule="auto"/>
      </w:pPr>
      <w:r>
        <w:rPr>
          <w:sz w:val="20"/>
        </w:rPr>
        <w:t>Use Draft, In review, Published and Retired states. Editing a published template creates a new draft version. Publication validates schema, references, audience permissions, target engine, mandatory mappings, routing and conditional logic; record reviewer, version and publication time. An independently authorised publisher approves a designer authored version. Retire blocks new use without deleting prior submissions. Rollback republishes a selected historic design as a new version.</w:t>
      </w:r>
    </w:p>
    <w:p>
      <w:pPr>
        <w:spacing w:after="120" w:line="252" w:lineRule="auto"/>
      </w:pPr>
      <w:r>
        <w:rPr>
          <w:sz w:val="20"/>
        </w:rPr>
        <w:t>Submissions pin template ID, immutable version and schema hash, displayed questions and typed answers, submitter, requester and target record reference. Later edits must not reinterpret historical answers. Drafts pin their starting version. At submission reject a withdrawn or incompatible version and offer explicit migration with review; never silently submit under a changed form. Do not force historic records into a newly published schema.</w:t>
      </w:r>
    </w:p>
    <w:p>
      <w:pPr>
        <w:pStyle w:val="Heading2"/>
      </w:pPr>
      <w:r>
        <w:t>Tenant controls and sharing</w:t>
      </w:r>
    </w:p>
    <w:p>
      <w:pPr>
        <w:spacing w:after="120" w:line="252" w:lineRule="auto"/>
      </w:pPr>
      <w:r>
        <w:rPr>
          <w:sz w:val="20"/>
        </w:rPr>
        <w:t>Add M25 to each tenant engine settings section. Configure On or Off, enabled template families, catalogue categories, default triage groups, permitted audiences, draft retention, publication roles and starter pack version. Show dependency and health validation before enablement. A global starter pack contains only generic schemas and text; tenant custom templates are private by default. Tenant overrides create tenant owned versions and cannot expose another tenant data or routing references.</w:t>
      </w:r>
    </w:p>
    <w:p>
      <w:pPr>
        <w:spacing w:after="120" w:line="252" w:lineRule="auto"/>
      </w:pPr>
      <w:r>
        <w:rPr>
          <w:sz w:val="20"/>
        </w:rPr>
        <w:t>Permissions proposed for the canonical M02 catalogue are Template.ViewCatalogue, Use, Create, EditDraft, Review, Publish, Retire and ManageSettings. Reconcile these with the existing role ceilings and deny rules before seeding. Template management requires explicit grants; requester use never implies management. Hide inaccessible menu items, tabs and empty groups and enforce identical checks on APIs, imports, exports, preview and background jobs.</w:t>
      </w:r>
    </w:p>
    <w:p>
      <w:pPr>
        <w:pStyle w:val="Heading2"/>
      </w:pPr>
      <w:r>
        <w:t>Data protection and safe rendering</w:t>
      </w:r>
    </w:p>
    <w:p>
      <w:pPr>
        <w:spacing w:after="120" w:line="252" w:lineRule="auto"/>
      </w:pPr>
      <w:r>
        <w:rPr>
          <w:sz w:val="20"/>
        </w:rPr>
        <w:t>Restrict confidential security answers and evidence to authorised triage or SOC roles. A requester can see their permitted submission history; private notes remain separate. Mask sensitive data in notifications, logs and analytics. Respect customer business record ownership, offboarding export, retention and existing attachment access rules. Sanitise rich text and encode values everywhere. Do not permit arbitrary scripts, executable templates, raw database queries or arbitrary remote lookup URLs.</w:t>
      </w:r>
    </w:p>
    <w:p>
      <w:pPr>
        <w:spacing w:after="120" w:line="252" w:lineRule="auto"/>
      </w:pPr>
      <w:r>
        <w:rPr>
          <w:sz w:val="20"/>
        </w:rPr>
        <w:t>Imports and exports, if exposed, use versioned JSON with allowlisted types and structural validation. Imported content starts as Draft and requires normal review and publication. Reject cross tenant references, unknown fields, oversized payloads and invalid rules. Source code changes are required only for new trusted field components or command mappings outside the accepted vocabulary.</w:t>
      </w:r>
    </w:p>
    <w:p>
      <w:pPr>
        <w:pStyle w:val="Heading2"/>
      </w:pPr>
      <w:r>
        <w:t>Accessibility and service continuity</w:t>
      </w:r>
    </w:p>
    <w:p>
      <w:pPr>
        <w:spacing w:after="120" w:line="252" w:lineRule="auto"/>
      </w:pPr>
      <w:r>
        <w:rPr>
          <w:sz w:val="20"/>
        </w:rPr>
        <w:t>Use keyboard accessible search and controls, explicit labels, error summaries linked to fields, preserved focus for conditional content, readable mobile layouts and identical functionality in both themes. Do not rely on colour alone. M25 outages must not silently accept an incomplete report; provide clear retry guidance and the permitted generic intake route. Urgent security reporting guidance must remain visible without promising unconfigured response coverage.</w:t>
      </w:r>
    </w:p>
    <w:p>
      <w:r>
        <w:br w:type="page"/>
      </w:r>
    </w:p>
    <w:p>
      <w:pPr>
        <w:pStyle w:val="Heading1"/>
      </w:pPr>
      <w:r>
        <w:t>M25 developer work packages and acceptance criteria</w:t>
      </w:r>
    </w:p>
    <w:p>
      <w:pPr>
        <w:pStyle w:val="Heading2"/>
      </w:pPr>
      <w:r>
        <w:t>Proposed contracts and storage</w:t>
      </w:r>
    </w:p>
    <w:p>
      <w:pPr>
        <w:spacing w:after="120" w:line="252" w:lineRule="auto"/>
      </w:pPr>
      <w:r>
        <w:rPr>
          <w:sz w:val="20"/>
        </w:rPr>
        <w:t>TemplateDefinition identifies tenant or generic pack, stable template ID, family, target, owner and current publication. TemplateVersion holds immutable schema, hash, fields, rules, mappings, routing defaults, audiences and review receipts. FormDraft holds tenant, authenticated author, pinned version, typed answers, revision and expiry. TemplateSubmission records the version snapshot, accepted answers, idempotency key and owning record reference. Business submissions follow customer custody; operational publication authority and private audit follow existing trusted store rules.</w:t>
      </w:r>
    </w:p>
    <w:p>
      <w:pPr>
        <w:spacing w:after="120" w:line="252" w:lineRule="auto"/>
      </w:pPr>
      <w:r>
        <w:rPr>
          <w:sz w:val="20"/>
        </w:rPr>
        <w:t>Proposed commands are SearchTemplates, GetPublishedTemplate, SaveFormDraft, ValidateSubmission, SubmitFromTemplate, CreateTemplateDraft, CloneTemplate, RequestReview, PublishTemplate and RetireTemplate. Use expected revisions for edits and publication and an idempotency key for submission. Commit the submission snapshot and owner record through the accepted transaction or durable command protocol. Reconcile partial delivery before retry; never claim success without a committed owner record identity.</w:t>
      </w:r>
    </w:p>
    <w:p>
      <w:pPr>
        <w:pStyle w:val="Heading2"/>
      </w:pPr>
      <w:r>
        <w:t>Phase 1 work packages</w:t>
      </w:r>
    </w:p>
    <w:p>
      <w:pPr>
        <w:pStyle w:val="ListBullet"/>
        <w:spacing w:after="100"/>
      </w:pPr>
      <w:r>
        <w:rPr>
          <w:sz w:val="20"/>
        </w:rPr>
        <w:t>P1 T01 Establish template schemas, permissions, ownership and target engine adapters. Add M25 to settings and dependency review.</w:t>
      </w:r>
    </w:p>
    <w:p>
      <w:pPr>
        <w:pStyle w:val="ListBullet"/>
        <w:spacing w:after="100"/>
      </w:pPr>
      <w:r>
        <w:rPr>
          <w:sz w:val="20"/>
        </w:rPr>
        <w:t>P1 T02 Build catalogue search, accessible guided forms, drafts, review and idempotent ITSM and requester submission.</w:t>
      </w:r>
    </w:p>
    <w:p>
      <w:pPr>
        <w:pStyle w:val="ListBullet"/>
        <w:spacing w:after="100"/>
      </w:pPr>
      <w:r>
        <w:rPr>
          <w:sz w:val="20"/>
        </w:rPr>
        <w:t>P1 T03 Build custom designer, conditional validation, preview, version review, publication and retirement.</w:t>
      </w:r>
    </w:p>
    <w:p>
      <w:pPr>
        <w:pStyle w:val="ListBullet"/>
        <w:spacing w:after="100"/>
      </w:pPr>
      <w:r>
        <w:rPr>
          <w:sz w:val="20"/>
        </w:rPr>
        <w:t>P1 T04 Deliver starter forms, restricted requester security triage and authorised M04 analyst submission. Test routing, notifications, audit, exports and operational recovery before intake acceptance.</w:t>
      </w:r>
    </w:p>
    <w:p>
      <w:pPr>
        <w:pStyle w:val="Heading2"/>
      </w:pPr>
      <w:r>
        <w:t>Required acceptance evidence</w:t>
      </w:r>
    </w:p>
    <w:p>
      <w:pPr>
        <w:pStyle w:val="ListBullet"/>
        <w:spacing w:after="100"/>
      </w:pPr>
      <w:r>
        <w:rPr>
          <w:sz w:val="20"/>
        </w:rPr>
        <w:t>M25 A01 Search for print returns the permitted printer template. Required fields, conditional questions and summary produce one correctly routed M21 incident.</w:t>
      </w:r>
    </w:p>
    <w:p>
      <w:pPr>
        <w:pStyle w:val="ListBullet"/>
        <w:spacing w:after="100"/>
      </w:pPr>
      <w:r>
        <w:rPr>
          <w:sz w:val="20"/>
        </w:rPr>
        <w:t>M25 A02 Requester phishing submission creates a restricted triage report without SOC access. An authorised analyst links or creates M04 with traceability; private investigation remains hidden.</w:t>
      </w:r>
    </w:p>
    <w:p>
      <w:pPr>
        <w:pStyle w:val="ListBullet"/>
        <w:spacing w:after="100"/>
      </w:pPr>
      <w:r>
        <w:rPr>
          <w:sz w:val="20"/>
        </w:rPr>
        <w:t>M25 A03 A designer creates and previews a custom template. Independent publication makes it searchable only for permitted tenants and audiences. Invalid schemas and self approval are rejected.</w:t>
      </w:r>
    </w:p>
    <w:p>
      <w:pPr>
        <w:pStyle w:val="ListBullet"/>
        <w:spacing w:after="100"/>
      </w:pPr>
      <w:r>
        <w:rPr>
          <w:sz w:val="20"/>
        </w:rPr>
        <w:t>M25 A04 New versions do not alter historical answers; stale drafts require review. Retirement blocks new use. Double submission and retry after a lost response create one owning record.</w:t>
      </w:r>
    </w:p>
    <w:p>
      <w:pPr>
        <w:pStyle w:val="ListBullet"/>
        <w:spacing w:after="100"/>
      </w:pPr>
      <w:r>
        <w:rPr>
          <w:sz w:val="20"/>
        </w:rPr>
        <w:t>M25 A05 Browser bypass cannot set tenant, identity, status, approval or hidden answers. Cross tenant lookups, imports, direct URLs and searches cannot leak data.</w:t>
      </w:r>
    </w:p>
    <w:p>
      <w:pPr>
        <w:pStyle w:val="ListBullet"/>
        <w:spacing w:after="100"/>
      </w:pPr>
      <w:r>
        <w:rPr>
          <w:sz w:val="20"/>
        </w:rPr>
        <w:t>M25 A06 Engine Off and target engine dependencies work; failed routing uses approved triage. Both themes, keyboard, mobile, errors and attachment quarantine pass the accepted checks.</w:t>
      </w:r>
    </w:p>
    <w:p>
      <w:pPr>
        <w:pStyle w:val="Heading2"/>
      </w:pPr>
      <w:r>
        <w:t>Research references checked on 3 November 2026</w:t>
      </w:r>
    </w:p>
    <w:p>
      <w:pPr>
        <w:spacing w:after="120" w:line="252" w:lineRule="auto"/>
      </w:pPr>
      <w:r>
        <w:rPr>
          <w:sz w:val="20"/>
        </w:rPr>
        <w:t>Industry patterns support searchable request types and dynamic forms; the Orca requirements above are its own proposed implementation. References: Atlassian Create or edit a form, https://support.atlassian.com/jira-service-management-cloud/docs/create-or-edit-a-form/ ; What are forms, https://support.atlassian.com/jira-service-management-cloud/docs/what-are-forms/ ; Service management template catalogue, https://www.atlassian.com/software/jira/templates/service-management .</w:t>
      </w:r>
    </w:p>
    <w:sectPr w:rsidR="00FC693F" w:rsidRPr="0006063C" w:rsidSect="00034616">
      <w:pgSz w:w="12240" w:h="15840" w:orient="landscape"/>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Orca complete application master v8.0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Orca | Threat Intelligence Bureau LTD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FFFFFF7C"/>
    <w:multiLevelType w:val="singleLevel"/>
    <w:tmpl w:val="C310EC42"/>
    <w:lvl w:ilvl="0">
      <w:start w:val="1"/>
      <w:numFmt w:val="decimal"/>
      <w:lvlText w:val="%1."/>
      <w:lvlJc w:val="left"/>
      <w:pPr>
        <w:tabs>
          <w:tab w:val="num" w:pos="1800"/>
        </w:tabs>
        <w:ind w:left="1800" w:hanging="360"/>
      </w:pPr>
    </w:lvl>
  </w:abstractNum>
  <w:abstractNum w:abstractNumId="10">
    <w:nsid w:val="FFFFFF7D"/>
    <w:multiLevelType w:val="singleLevel"/>
    <w:tmpl w:val="E4089024"/>
    <w:lvl w:ilvl="0">
      <w:start w:val="1"/>
      <w:numFmt w:val="decimal"/>
      <w:lvlText w:val="%1."/>
      <w:lvlJc w:val="left"/>
      <w:pPr>
        <w:tabs>
          <w:tab w:val="num" w:pos="1440"/>
        </w:tabs>
        <w:ind w:left="1440" w:hanging="360"/>
      </w:pPr>
    </w:lvl>
  </w:abstractNum>
  <w:abstractNum w:abstractNumId="11">
    <w:nsid w:val="FFFFFF7E"/>
    <w:multiLevelType w:val="singleLevel"/>
    <w:tmpl w:val="FB12693A"/>
    <w:lvl w:ilvl="0">
      <w:start w:val="1"/>
      <w:numFmt w:val="decimal"/>
      <w:pStyle w:val="Tenant_ListNumber3"/>
      <w:lvlText w:val="%1."/>
      <w:lvlJc w:val="left"/>
      <w:pPr>
        <w:tabs>
          <w:tab w:val="num" w:pos="1080"/>
        </w:tabs>
        <w:ind w:left="1080" w:hanging="360"/>
      </w:pPr>
    </w:lvl>
  </w:abstractNum>
  <w:abstractNum w:abstractNumId="12">
    <w:nsid w:val="FFFFFF7F"/>
    <w:multiLevelType w:val="singleLevel"/>
    <w:tmpl w:val="38441652"/>
    <w:lvl w:ilvl="0">
      <w:start w:val="1"/>
      <w:numFmt w:val="decimal"/>
      <w:pStyle w:val="Tenant_ListNumber2"/>
      <w:lvlText w:val="%1."/>
      <w:lvlJc w:val="left"/>
      <w:pPr>
        <w:tabs>
          <w:tab w:val="num" w:pos="720"/>
        </w:tabs>
        <w:ind w:left="720" w:hanging="360"/>
      </w:pPr>
    </w:lvl>
  </w:abstractNum>
  <w:abstractNum w:abstractNumId="13">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4">
    <w:nsid w:val="FFFFFF82"/>
    <w:multiLevelType w:val="singleLevel"/>
    <w:tmpl w:val="F3EAFDEC"/>
    <w:lvl w:ilvl="0">
      <w:start w:val="1"/>
      <w:numFmt w:val="bullet"/>
      <w:pStyle w:val="Tenant_ListBullet3"/>
      <w:lvlText w:val=""/>
      <w:lvlJc w:val="left"/>
      <w:pPr>
        <w:tabs>
          <w:tab w:val="num" w:pos="1080"/>
        </w:tabs>
        <w:ind w:left="1080" w:hanging="360"/>
      </w:pPr>
      <w:rPr>
        <w:rFonts w:ascii="Symbol" w:hAnsi="Symbol" w:hint="default"/>
      </w:rPr>
    </w:lvl>
  </w:abstractNum>
  <w:abstractNum w:abstractNumId="15">
    <w:nsid w:val="FFFFFF83"/>
    <w:multiLevelType w:val="singleLevel"/>
    <w:tmpl w:val="3D1EFFD4"/>
    <w:lvl w:ilvl="0">
      <w:start w:val="1"/>
      <w:numFmt w:val="bullet"/>
      <w:pStyle w:val="Tenant_ListBullet2"/>
      <w:lvlText w:val=""/>
      <w:lvlJc w:val="left"/>
      <w:pPr>
        <w:tabs>
          <w:tab w:val="num" w:pos="720"/>
        </w:tabs>
        <w:ind w:left="720" w:hanging="360"/>
      </w:pPr>
      <w:rPr>
        <w:rFonts w:ascii="Symbol" w:hAnsi="Symbol" w:hint="default"/>
      </w:rPr>
    </w:lvl>
  </w:abstractNum>
  <w:abstractNum w:abstractNumId="16">
    <w:nsid w:val="FFFFFF88"/>
    <w:multiLevelType w:val="singleLevel"/>
    <w:tmpl w:val="D0A62B40"/>
    <w:lvl w:ilvl="0">
      <w:start w:val="1"/>
      <w:numFmt w:val="decimal"/>
      <w:pStyle w:val="Tenant_ListNumber"/>
      <w:lvlText w:val="%1."/>
      <w:lvlJc w:val="left"/>
      <w:pPr>
        <w:tabs>
          <w:tab w:val="num" w:pos="360"/>
        </w:tabs>
        <w:ind w:left="360" w:hanging="360"/>
      </w:pPr>
    </w:lvl>
  </w:abstractNum>
  <w:abstractNum w:abstractNumId="17">
    <w:nsid w:val="FFFFFF89"/>
    <w:multiLevelType w:val="singleLevel"/>
    <w:tmpl w:val="29761A62"/>
    <w:lvl w:ilvl="0">
      <w:start w:val="1"/>
      <w:numFmt w:val="bullet"/>
      <w:pStyle w:val="Tenant_ListBullet"/>
      <w:lvlText w:val=""/>
      <w:lvlJc w:val="left"/>
      <w:pPr>
        <w:tabs>
          <w:tab w:val="num" w:pos="360"/>
        </w:tabs>
        <w:ind w:left="360" w:hanging="360"/>
      </w:pPr>
      <w:rPr>
        <w:rFonts w:ascii="Symbol" w:hAnsi="Symbol" w:hint="default"/>
      </w:rPr>
    </w:lvl>
  </w:abstractNum>
  <w:num w:numId="10">
    <w:abstractNumId w:val="17"/>
  </w:num>
  <w:num w:numId="11">
    <w:abstractNumId w:val="15"/>
  </w:num>
  <w:num w:numId="12">
    <w:abstractNumId w:val="14"/>
  </w:num>
  <w:num w:numId="13">
    <w:abstractNumId w:val="13"/>
  </w:num>
  <w:num w:numId="14">
    <w:abstractNumId w:val="16"/>
  </w:num>
  <w:num w:numId="15">
    <w:abstractNumId w:val="12"/>
  </w:num>
  <w:num w:numId="16">
    <w:abstractNumId w:val="11"/>
  </w:num>
  <w:num w:numId="17">
    <w:abstractNumId w:val="10"/>
  </w:num>
  <w:num w:numId="18">
    <w:abstractNumId w:val="9"/>
  </w:num>
  <w:abstractNum w:abstractNumId="18">
    <w:nsid w:val="FFFFFF7C"/>
    <w:multiLevelType w:val="singleLevel"/>
    <w:tmpl w:val="C310EC42"/>
    <w:lvl w:ilvl="0">
      <w:start w:val="1"/>
      <w:numFmt w:val="decimal"/>
      <w:lvlText w:val="%1."/>
      <w:lvlJc w:val="left"/>
      <w:pPr>
        <w:tabs>
          <w:tab w:val="num" w:pos="1800"/>
        </w:tabs>
        <w:ind w:left="1800" w:hanging="360"/>
      </w:pPr>
    </w:lvl>
  </w:abstractNum>
  <w:abstractNum w:abstractNumId="19">
    <w:nsid w:val="FFFFFF7D"/>
    <w:multiLevelType w:val="singleLevel"/>
    <w:tmpl w:val="E4089024"/>
    <w:lvl w:ilvl="0">
      <w:start w:val="1"/>
      <w:numFmt w:val="decimal"/>
      <w:lvlText w:val="%1."/>
      <w:lvlJc w:val="left"/>
      <w:pPr>
        <w:tabs>
          <w:tab w:val="num" w:pos="1440"/>
        </w:tabs>
        <w:ind w:left="1440" w:hanging="360"/>
      </w:pPr>
    </w:lvl>
  </w:abstractNum>
  <w:abstractNum w:abstractNumId="20">
    <w:nsid w:val="FFFFFF7E"/>
    <w:multiLevelType w:val="singleLevel"/>
    <w:tmpl w:val="FB12693A"/>
    <w:lvl w:ilvl="0">
      <w:start w:val="1"/>
      <w:numFmt w:val="decimal"/>
      <w:pStyle w:val="IntroTenant_ListNumber3"/>
      <w:lvlText w:val="%1."/>
      <w:lvlJc w:val="left"/>
      <w:pPr>
        <w:tabs>
          <w:tab w:val="num" w:pos="1080"/>
        </w:tabs>
        <w:ind w:left="1080" w:hanging="360"/>
      </w:pPr>
    </w:lvl>
  </w:abstractNum>
  <w:abstractNum w:abstractNumId="21">
    <w:nsid w:val="FFFFFF7F"/>
    <w:multiLevelType w:val="singleLevel"/>
    <w:tmpl w:val="38441652"/>
    <w:lvl w:ilvl="0">
      <w:start w:val="1"/>
      <w:numFmt w:val="decimal"/>
      <w:pStyle w:val="IntroTenant_ListNumber2"/>
      <w:lvlText w:val="%1."/>
      <w:lvlJc w:val="left"/>
      <w:pPr>
        <w:tabs>
          <w:tab w:val="num" w:pos="720"/>
        </w:tabs>
        <w:ind w:left="720" w:hanging="360"/>
      </w:pPr>
    </w:lvl>
  </w:abstractNum>
  <w:abstractNum w:abstractNumId="22">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23">
    <w:nsid w:val="FFFFFF82"/>
    <w:multiLevelType w:val="singleLevel"/>
    <w:tmpl w:val="F3EAFDEC"/>
    <w:lvl w:ilvl="0">
      <w:start w:val="1"/>
      <w:numFmt w:val="bullet"/>
      <w:pStyle w:val="IntroTenant_ListBullet3"/>
      <w:lvlText w:val=""/>
      <w:lvlJc w:val="left"/>
      <w:pPr>
        <w:tabs>
          <w:tab w:val="num" w:pos="1080"/>
        </w:tabs>
        <w:ind w:left="1080" w:hanging="360"/>
      </w:pPr>
      <w:rPr>
        <w:rFonts w:ascii="Symbol" w:hAnsi="Symbol" w:hint="default"/>
      </w:rPr>
    </w:lvl>
  </w:abstractNum>
  <w:abstractNum w:abstractNumId="24">
    <w:nsid w:val="FFFFFF83"/>
    <w:multiLevelType w:val="singleLevel"/>
    <w:tmpl w:val="3D1EFFD4"/>
    <w:lvl w:ilvl="0">
      <w:start w:val="1"/>
      <w:numFmt w:val="bullet"/>
      <w:pStyle w:val="IntroTenant_ListBullet2"/>
      <w:lvlText w:val=""/>
      <w:lvlJc w:val="left"/>
      <w:pPr>
        <w:tabs>
          <w:tab w:val="num" w:pos="720"/>
        </w:tabs>
        <w:ind w:left="720" w:hanging="360"/>
      </w:pPr>
      <w:rPr>
        <w:rFonts w:ascii="Symbol" w:hAnsi="Symbol" w:hint="default"/>
      </w:rPr>
    </w:lvl>
  </w:abstractNum>
  <w:abstractNum w:abstractNumId="25">
    <w:nsid w:val="FFFFFF88"/>
    <w:multiLevelType w:val="singleLevel"/>
    <w:tmpl w:val="D0A62B40"/>
    <w:lvl w:ilvl="0">
      <w:start w:val="1"/>
      <w:numFmt w:val="decimal"/>
      <w:pStyle w:val="IntroTenant_ListNumber"/>
      <w:lvlText w:val="%1."/>
      <w:lvlJc w:val="left"/>
      <w:pPr>
        <w:tabs>
          <w:tab w:val="num" w:pos="360"/>
        </w:tabs>
        <w:ind w:left="360" w:hanging="360"/>
      </w:pPr>
    </w:lvl>
  </w:abstractNum>
  <w:abstractNum w:abstractNumId="26">
    <w:nsid w:val="FFFFFF89"/>
    <w:multiLevelType w:val="singleLevel"/>
    <w:tmpl w:val="29761A62"/>
    <w:lvl w:ilvl="0">
      <w:start w:val="1"/>
      <w:numFmt w:val="bullet"/>
      <w:pStyle w:val="IntroTenant_ListBullet"/>
      <w:lvlText w:val=""/>
      <w:lvlJc w:val="left"/>
      <w:pPr>
        <w:tabs>
          <w:tab w:val="num" w:pos="360"/>
        </w:tabs>
        <w:ind w:left="360" w:hanging="360"/>
      </w:pPr>
      <w:rPr>
        <w:rFonts w:ascii="Symbol" w:hAnsi="Symbol" w:hint="default"/>
      </w:rPr>
    </w:lvl>
  </w:abstractNum>
  <w:num w:numId="19">
    <w:abstractNumId w:val="26"/>
  </w:num>
  <w:num w:numId="20">
    <w:abstractNumId w:val="24"/>
  </w:num>
  <w:num w:numId="21">
    <w:abstractNumId w:val="23"/>
  </w:num>
  <w:num w:numId="22">
    <w:abstractNumId w:val="22"/>
  </w:num>
  <w:num w:numId="23">
    <w:abstractNumId w:val="25"/>
  </w:num>
  <w:num w:numId="24">
    <w:abstractNumId w:val="21"/>
  </w:num>
  <w:num w:numId="25">
    <w:abstractNumId w:val="20"/>
  </w:num>
  <w:num w:numId="26">
    <w:abstractNumId w:val="19"/>
  </w:num>
  <w:num w:numId="27">
    <w:abstractNumId w:val="18"/>
  </w:num>
  <w:abstractNum w:abstractNumId="27">
    <w:nsid w:val="FFFFFF7C"/>
    <w:multiLevelType w:val="singleLevel"/>
    <w:tmpl w:val="C310EC42"/>
    <w:lvl w:ilvl="0">
      <w:start w:val="1"/>
      <w:numFmt w:val="decimal"/>
      <w:lvlText w:val="%1."/>
      <w:lvlJc w:val="left"/>
      <w:pPr>
        <w:tabs>
          <w:tab w:val="num" w:pos="1800"/>
        </w:tabs>
        <w:ind w:left="1800" w:hanging="360"/>
      </w:pPr>
    </w:lvl>
  </w:abstractNum>
  <w:abstractNum w:abstractNumId="28">
    <w:nsid w:val="FFFFFF7D"/>
    <w:multiLevelType w:val="singleLevel"/>
    <w:tmpl w:val="E4089024"/>
    <w:lvl w:ilvl="0">
      <w:start w:val="1"/>
      <w:numFmt w:val="decimal"/>
      <w:lvlText w:val="%1."/>
      <w:lvlJc w:val="left"/>
      <w:pPr>
        <w:tabs>
          <w:tab w:val="num" w:pos="1440"/>
        </w:tabs>
        <w:ind w:left="1440" w:hanging="360"/>
      </w:pPr>
    </w:lvl>
  </w:abstractNum>
  <w:abstractNum w:abstractNumId="29">
    <w:nsid w:val="FFFFFF7E"/>
    <w:multiLevelType w:val="singleLevel"/>
    <w:tmpl w:val="FB12693A"/>
    <w:lvl w:ilvl="0">
      <w:start w:val="1"/>
      <w:numFmt w:val="decimal"/>
      <w:pStyle w:val="DevDecision_ListNumber3"/>
      <w:lvlText w:val="%1."/>
      <w:lvlJc w:val="left"/>
      <w:pPr>
        <w:tabs>
          <w:tab w:val="num" w:pos="1080"/>
        </w:tabs>
        <w:ind w:left="1080" w:hanging="360"/>
      </w:pPr>
    </w:lvl>
  </w:abstractNum>
  <w:abstractNum w:abstractNumId="30">
    <w:nsid w:val="FFFFFF7F"/>
    <w:multiLevelType w:val="singleLevel"/>
    <w:tmpl w:val="38441652"/>
    <w:lvl w:ilvl="0">
      <w:start w:val="1"/>
      <w:numFmt w:val="decimal"/>
      <w:pStyle w:val="DevDecision_ListNumber2"/>
      <w:lvlText w:val="%1."/>
      <w:lvlJc w:val="left"/>
      <w:pPr>
        <w:tabs>
          <w:tab w:val="num" w:pos="720"/>
        </w:tabs>
        <w:ind w:left="720" w:hanging="360"/>
      </w:pPr>
    </w:lvl>
  </w:abstractNum>
  <w:abstractNum w:abstractNumId="31">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32">
    <w:nsid w:val="FFFFFF82"/>
    <w:multiLevelType w:val="singleLevel"/>
    <w:tmpl w:val="F3EAFDEC"/>
    <w:lvl w:ilvl="0">
      <w:start w:val="1"/>
      <w:numFmt w:val="bullet"/>
      <w:pStyle w:val="DevDecision_ListBullet3"/>
      <w:lvlText w:val=""/>
      <w:lvlJc w:val="left"/>
      <w:pPr>
        <w:tabs>
          <w:tab w:val="num" w:pos="1080"/>
        </w:tabs>
        <w:ind w:left="1080" w:hanging="360"/>
      </w:pPr>
      <w:rPr>
        <w:rFonts w:ascii="Symbol" w:hAnsi="Symbol" w:hint="default"/>
      </w:rPr>
    </w:lvl>
  </w:abstractNum>
  <w:abstractNum w:abstractNumId="33">
    <w:nsid w:val="FFFFFF83"/>
    <w:multiLevelType w:val="singleLevel"/>
    <w:tmpl w:val="3D1EFFD4"/>
    <w:lvl w:ilvl="0">
      <w:start w:val="1"/>
      <w:numFmt w:val="bullet"/>
      <w:pStyle w:val="DevDecision_ListBullet2"/>
      <w:lvlText w:val=""/>
      <w:lvlJc w:val="left"/>
      <w:pPr>
        <w:tabs>
          <w:tab w:val="num" w:pos="720"/>
        </w:tabs>
        <w:ind w:left="720" w:hanging="360"/>
      </w:pPr>
      <w:rPr>
        <w:rFonts w:ascii="Symbol" w:hAnsi="Symbol" w:hint="default"/>
      </w:rPr>
    </w:lvl>
  </w:abstractNum>
  <w:abstractNum w:abstractNumId="34">
    <w:nsid w:val="FFFFFF88"/>
    <w:multiLevelType w:val="singleLevel"/>
    <w:tmpl w:val="D0A62B40"/>
    <w:lvl w:ilvl="0">
      <w:start w:val="1"/>
      <w:numFmt w:val="decimal"/>
      <w:pStyle w:val="DevDecision_ListNumber"/>
      <w:lvlText w:val="%1."/>
      <w:lvlJc w:val="left"/>
      <w:pPr>
        <w:tabs>
          <w:tab w:val="num" w:pos="360"/>
        </w:tabs>
        <w:ind w:left="360" w:hanging="360"/>
      </w:pPr>
    </w:lvl>
  </w:abstractNum>
  <w:abstractNum w:abstractNumId="35">
    <w:nsid w:val="FFFFFF89"/>
    <w:multiLevelType w:val="singleLevel"/>
    <w:tmpl w:val="29761A62"/>
    <w:lvl w:ilvl="0">
      <w:start w:val="1"/>
      <w:numFmt w:val="bullet"/>
      <w:pStyle w:val="DevDecision_ListBullet"/>
      <w:lvlText w:val=""/>
      <w:lvlJc w:val="left"/>
      <w:pPr>
        <w:tabs>
          <w:tab w:val="num" w:pos="360"/>
        </w:tabs>
        <w:ind w:left="360" w:hanging="360"/>
      </w:pPr>
      <w:rPr>
        <w:rFonts w:ascii="Symbol" w:hAnsi="Symbol" w:hint="default"/>
      </w:rPr>
    </w:lvl>
  </w:abstractNum>
  <w:num w:numId="28">
    <w:abstractNumId w:val="35"/>
  </w:num>
  <w:num w:numId="29">
    <w:abstractNumId w:val="33"/>
  </w:num>
  <w:num w:numId="30">
    <w:abstractNumId w:val="32"/>
  </w:num>
  <w:num w:numId="31">
    <w:abstractNumId w:val="31"/>
  </w:num>
  <w:num w:numId="32">
    <w:abstractNumId w:val="34"/>
  </w:num>
  <w:num w:numId="33">
    <w:abstractNumId w:val="30"/>
  </w:num>
  <w:num w:numId="34">
    <w:abstractNumId w:val="29"/>
  </w:num>
  <w:num w:numId="35">
    <w:abstractNumId w:val="28"/>
  </w:num>
  <w:num w:numId="36">
    <w:abstractNumId w:val="27"/>
  </w:num>
  <w:abstractNum w:abstractNumId="36">
    <w:nsid w:val="FFFFFF7C"/>
    <w:multiLevelType w:val="singleLevel"/>
    <w:tmpl w:val="C310EC42"/>
    <w:lvl w:ilvl="0">
      <w:start w:val="1"/>
      <w:numFmt w:val="decimal"/>
      <w:lvlText w:val="%1."/>
      <w:lvlJc w:val="left"/>
      <w:pPr>
        <w:tabs>
          <w:tab w:val="num" w:pos="1800"/>
        </w:tabs>
        <w:ind w:left="1800" w:hanging="360"/>
      </w:pPr>
    </w:lvl>
  </w:abstractNum>
  <w:abstractNum w:abstractNumId="37">
    <w:nsid w:val="FFFFFF7D"/>
    <w:multiLevelType w:val="singleLevel"/>
    <w:tmpl w:val="E4089024"/>
    <w:lvl w:ilvl="0">
      <w:start w:val="1"/>
      <w:numFmt w:val="decimal"/>
      <w:lvlText w:val="%1."/>
      <w:lvlJc w:val="left"/>
      <w:pPr>
        <w:tabs>
          <w:tab w:val="num" w:pos="1440"/>
        </w:tabs>
        <w:ind w:left="1440" w:hanging="360"/>
      </w:pPr>
    </w:lvl>
  </w:abstractNum>
  <w:abstractNum w:abstractNumId="38">
    <w:nsid w:val="FFFFFF7E"/>
    <w:multiLevelType w:val="singleLevel"/>
    <w:tmpl w:val="FB12693A"/>
    <w:lvl w:ilvl="0">
      <w:start w:val="1"/>
      <w:numFmt w:val="decimal"/>
      <w:pStyle w:val="QHead_ListNumber3"/>
      <w:lvlText w:val="%1."/>
      <w:lvlJc w:val="left"/>
      <w:pPr>
        <w:tabs>
          <w:tab w:val="num" w:pos="1080"/>
        </w:tabs>
        <w:ind w:left="1080" w:hanging="360"/>
      </w:pPr>
    </w:lvl>
  </w:abstractNum>
  <w:abstractNum w:abstractNumId="39">
    <w:nsid w:val="FFFFFF7F"/>
    <w:multiLevelType w:val="singleLevel"/>
    <w:tmpl w:val="38441652"/>
    <w:lvl w:ilvl="0">
      <w:start w:val="1"/>
      <w:numFmt w:val="decimal"/>
      <w:pStyle w:val="QHead_ListNumber2"/>
      <w:lvlText w:val="%1."/>
      <w:lvlJc w:val="left"/>
      <w:pPr>
        <w:tabs>
          <w:tab w:val="num" w:pos="720"/>
        </w:tabs>
        <w:ind w:left="720" w:hanging="360"/>
      </w:pPr>
    </w:lvl>
  </w:abstractNum>
  <w:abstractNum w:abstractNumId="4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41">
    <w:nsid w:val="FFFFFF82"/>
    <w:multiLevelType w:val="singleLevel"/>
    <w:tmpl w:val="F3EAFDEC"/>
    <w:lvl w:ilvl="0">
      <w:start w:val="1"/>
      <w:numFmt w:val="bullet"/>
      <w:pStyle w:val="QHead_ListBullet3"/>
      <w:lvlText w:val=""/>
      <w:lvlJc w:val="left"/>
      <w:pPr>
        <w:tabs>
          <w:tab w:val="num" w:pos="1080"/>
        </w:tabs>
        <w:ind w:left="1080" w:hanging="360"/>
      </w:pPr>
      <w:rPr>
        <w:rFonts w:ascii="Symbol" w:hAnsi="Symbol" w:hint="default"/>
      </w:rPr>
    </w:lvl>
  </w:abstractNum>
  <w:abstractNum w:abstractNumId="42">
    <w:nsid w:val="FFFFFF83"/>
    <w:multiLevelType w:val="singleLevel"/>
    <w:tmpl w:val="3D1EFFD4"/>
    <w:lvl w:ilvl="0">
      <w:start w:val="1"/>
      <w:numFmt w:val="bullet"/>
      <w:pStyle w:val="QHead_ListBullet2"/>
      <w:lvlText w:val=""/>
      <w:lvlJc w:val="left"/>
      <w:pPr>
        <w:tabs>
          <w:tab w:val="num" w:pos="720"/>
        </w:tabs>
        <w:ind w:left="720" w:hanging="360"/>
      </w:pPr>
      <w:rPr>
        <w:rFonts w:ascii="Symbol" w:hAnsi="Symbol" w:hint="default"/>
      </w:rPr>
    </w:lvl>
  </w:abstractNum>
  <w:abstractNum w:abstractNumId="43">
    <w:nsid w:val="FFFFFF88"/>
    <w:multiLevelType w:val="singleLevel"/>
    <w:tmpl w:val="D0A62B40"/>
    <w:lvl w:ilvl="0">
      <w:start w:val="1"/>
      <w:numFmt w:val="decimal"/>
      <w:pStyle w:val="QHead_ListNumber"/>
      <w:lvlText w:val="%1."/>
      <w:lvlJc w:val="left"/>
      <w:pPr>
        <w:tabs>
          <w:tab w:val="num" w:pos="360"/>
        </w:tabs>
        <w:ind w:left="360" w:hanging="360"/>
      </w:pPr>
    </w:lvl>
  </w:abstractNum>
  <w:abstractNum w:abstractNumId="44">
    <w:nsid w:val="FFFFFF89"/>
    <w:multiLevelType w:val="singleLevel"/>
    <w:tmpl w:val="29761A62"/>
    <w:lvl w:ilvl="0">
      <w:start w:val="1"/>
      <w:numFmt w:val="bullet"/>
      <w:pStyle w:val="QHead_ListBullet"/>
      <w:lvlText w:val=""/>
      <w:lvlJc w:val="left"/>
      <w:pPr>
        <w:tabs>
          <w:tab w:val="num" w:pos="360"/>
        </w:tabs>
        <w:ind w:left="360" w:hanging="360"/>
      </w:pPr>
      <w:rPr>
        <w:rFonts w:ascii="Symbol" w:hAnsi="Symbol" w:hint="default"/>
      </w:rPr>
    </w:lvl>
  </w:abstractNum>
  <w:num w:numId="37">
    <w:abstractNumId w:val="44"/>
  </w:num>
  <w:num w:numId="38">
    <w:abstractNumId w:val="42"/>
  </w:num>
  <w:num w:numId="39">
    <w:abstractNumId w:val="41"/>
  </w:num>
  <w:num w:numId="40">
    <w:abstractNumId w:val="40"/>
  </w:num>
  <w:num w:numId="41">
    <w:abstractNumId w:val="43"/>
  </w:num>
  <w:num w:numId="42">
    <w:abstractNumId w:val="39"/>
  </w:num>
  <w:num w:numId="43">
    <w:abstractNumId w:val="38"/>
  </w:num>
  <w:num w:numId="44">
    <w:abstractNumId w:val="37"/>
  </w:num>
  <w:num w:numId="45">
    <w:abstractNumId w:val="36"/>
  </w:num>
  <w:abstractNum w:abstractNumId="45">
    <w:nsid w:val="FFFFFF7C"/>
    <w:multiLevelType w:val="singleLevel"/>
    <w:tmpl w:val="C310EC42"/>
    <w:lvl w:ilvl="0">
      <w:start w:val="1"/>
      <w:numFmt w:val="decimal"/>
      <w:lvlText w:val="%1."/>
      <w:lvlJc w:val="left"/>
      <w:pPr>
        <w:tabs>
          <w:tab w:val="num" w:pos="1800"/>
        </w:tabs>
        <w:ind w:left="1800" w:hanging="360"/>
      </w:pPr>
    </w:lvl>
  </w:abstractNum>
  <w:abstractNum w:abstractNumId="46">
    <w:nsid w:val="FFFFFF7D"/>
    <w:multiLevelType w:val="singleLevel"/>
    <w:tmpl w:val="E4089024"/>
    <w:lvl w:ilvl="0">
      <w:start w:val="1"/>
      <w:numFmt w:val="decimal"/>
      <w:lvlText w:val="%1."/>
      <w:lvlJc w:val="left"/>
      <w:pPr>
        <w:tabs>
          <w:tab w:val="num" w:pos="1440"/>
        </w:tabs>
        <w:ind w:left="1440" w:hanging="360"/>
      </w:pPr>
    </w:lvl>
  </w:abstractNum>
  <w:abstractNum w:abstractNumId="47">
    <w:nsid w:val="FFFFFF7E"/>
    <w:multiLevelType w:val="singleLevel"/>
    <w:tmpl w:val="FB12693A"/>
    <w:lvl w:ilvl="0">
      <w:start w:val="1"/>
      <w:numFmt w:val="decimal"/>
      <w:pStyle w:val="QA_ListNumber3"/>
      <w:lvlText w:val="%1."/>
      <w:lvlJc w:val="left"/>
      <w:pPr>
        <w:tabs>
          <w:tab w:val="num" w:pos="1080"/>
        </w:tabs>
        <w:ind w:left="1080" w:hanging="360"/>
      </w:pPr>
    </w:lvl>
  </w:abstractNum>
  <w:abstractNum w:abstractNumId="48">
    <w:nsid w:val="FFFFFF7F"/>
    <w:multiLevelType w:val="singleLevel"/>
    <w:tmpl w:val="38441652"/>
    <w:lvl w:ilvl="0">
      <w:start w:val="1"/>
      <w:numFmt w:val="decimal"/>
      <w:pStyle w:val="QA_ListNumber2"/>
      <w:lvlText w:val="%1."/>
      <w:lvlJc w:val="left"/>
      <w:pPr>
        <w:tabs>
          <w:tab w:val="num" w:pos="720"/>
        </w:tabs>
        <w:ind w:left="720" w:hanging="360"/>
      </w:pPr>
    </w:lvl>
  </w:abstractNum>
  <w:abstractNum w:abstractNumId="49">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0">
    <w:nsid w:val="FFFFFF82"/>
    <w:multiLevelType w:val="singleLevel"/>
    <w:tmpl w:val="F3EAFDEC"/>
    <w:lvl w:ilvl="0">
      <w:start w:val="1"/>
      <w:numFmt w:val="bullet"/>
      <w:pStyle w:val="QA_ListBullet3"/>
      <w:lvlText w:val=""/>
      <w:lvlJc w:val="left"/>
      <w:pPr>
        <w:tabs>
          <w:tab w:val="num" w:pos="1080"/>
        </w:tabs>
        <w:ind w:left="1080" w:hanging="360"/>
      </w:pPr>
      <w:rPr>
        <w:rFonts w:ascii="Symbol" w:hAnsi="Symbol" w:hint="default"/>
      </w:rPr>
    </w:lvl>
  </w:abstractNum>
  <w:abstractNum w:abstractNumId="51">
    <w:nsid w:val="FFFFFF83"/>
    <w:multiLevelType w:val="singleLevel"/>
    <w:tmpl w:val="3D1EFFD4"/>
    <w:lvl w:ilvl="0">
      <w:start w:val="1"/>
      <w:numFmt w:val="bullet"/>
      <w:pStyle w:val="QA_ListBullet2"/>
      <w:lvlText w:val=""/>
      <w:lvlJc w:val="left"/>
      <w:pPr>
        <w:tabs>
          <w:tab w:val="num" w:pos="720"/>
        </w:tabs>
        <w:ind w:left="720" w:hanging="360"/>
      </w:pPr>
      <w:rPr>
        <w:rFonts w:ascii="Symbol" w:hAnsi="Symbol" w:hint="default"/>
      </w:rPr>
    </w:lvl>
  </w:abstractNum>
  <w:abstractNum w:abstractNumId="52">
    <w:nsid w:val="FFFFFF88"/>
    <w:multiLevelType w:val="singleLevel"/>
    <w:tmpl w:val="D0A62B40"/>
    <w:lvl w:ilvl="0">
      <w:start w:val="1"/>
      <w:numFmt w:val="decimal"/>
      <w:pStyle w:val="QA_ListNumber"/>
      <w:lvlText w:val="%1."/>
      <w:lvlJc w:val="left"/>
      <w:pPr>
        <w:tabs>
          <w:tab w:val="num" w:pos="360"/>
        </w:tabs>
        <w:ind w:left="360" w:hanging="360"/>
      </w:pPr>
    </w:lvl>
  </w:abstractNum>
  <w:abstractNum w:abstractNumId="53">
    <w:nsid w:val="FFFFFF89"/>
    <w:multiLevelType w:val="singleLevel"/>
    <w:tmpl w:val="29761A62"/>
    <w:lvl w:ilvl="0">
      <w:start w:val="1"/>
      <w:numFmt w:val="bullet"/>
      <w:pStyle w:val="QA_ListBullet"/>
      <w:lvlText w:val=""/>
      <w:lvlJc w:val="left"/>
      <w:pPr>
        <w:tabs>
          <w:tab w:val="num" w:pos="360"/>
        </w:tabs>
        <w:ind w:left="360" w:hanging="360"/>
      </w:pPr>
      <w:rPr>
        <w:rFonts w:ascii="Symbol" w:hAnsi="Symbol" w:hint="default"/>
      </w:rPr>
    </w:lvl>
  </w:abstractNum>
  <w:num w:numId="46">
    <w:abstractNumId w:val="53"/>
  </w:num>
  <w:num w:numId="47">
    <w:abstractNumId w:val="51"/>
  </w:num>
  <w:num w:numId="48">
    <w:abstractNumId w:val="50"/>
  </w:num>
  <w:num w:numId="49">
    <w:abstractNumId w:val="49"/>
  </w:num>
  <w:num w:numId="50">
    <w:abstractNumId w:val="52"/>
  </w:num>
  <w:num w:numId="51">
    <w:abstractNumId w:val="48"/>
  </w:num>
  <w:num w:numId="52">
    <w:abstractNumId w:val="47"/>
  </w:num>
  <w:num w:numId="53">
    <w:abstractNumId w:val="46"/>
  </w:num>
  <w:num w:numId="54">
    <w:abstractNumId w:val="45"/>
  </w:num>
  <w:abstractNum w:abstractNumId="54">
    <w:nsid w:val="FFFFFF7C"/>
    <w:multiLevelType w:val="singleLevel"/>
    <w:tmpl w:val="C310EC42"/>
    <w:lvl w:ilvl="0">
      <w:start w:val="1"/>
      <w:numFmt w:val="decimal"/>
      <w:lvlText w:val="%1."/>
      <w:lvlJc w:val="left"/>
      <w:pPr>
        <w:tabs>
          <w:tab w:val="num" w:pos="1800"/>
        </w:tabs>
        <w:ind w:left="1800" w:hanging="360"/>
      </w:pPr>
    </w:lvl>
  </w:abstractNum>
  <w:abstractNum w:abstractNumId="55">
    <w:nsid w:val="FFFFFF7D"/>
    <w:multiLevelType w:val="singleLevel"/>
    <w:tmpl w:val="E4089024"/>
    <w:lvl w:ilvl="0">
      <w:start w:val="1"/>
      <w:numFmt w:val="decimal"/>
      <w:lvlText w:val="%1."/>
      <w:lvlJc w:val="left"/>
      <w:pPr>
        <w:tabs>
          <w:tab w:val="num" w:pos="1440"/>
        </w:tabs>
        <w:ind w:left="1440" w:hanging="360"/>
      </w:pPr>
    </w:lvl>
  </w:abstractNum>
  <w:abstractNum w:abstractNumId="56">
    <w:nsid w:val="FFFFFF7E"/>
    <w:multiLevelType w:val="singleLevel"/>
    <w:tmpl w:val="FB12693A"/>
    <w:lvl w:ilvl="0">
      <w:start w:val="1"/>
      <w:numFmt w:val="decimal"/>
      <w:pStyle w:val="Svc0_ListNumber3"/>
      <w:lvlText w:val="%1."/>
      <w:lvlJc w:val="left"/>
      <w:pPr>
        <w:tabs>
          <w:tab w:val="num" w:pos="1080"/>
        </w:tabs>
        <w:ind w:left="1080" w:hanging="360"/>
      </w:pPr>
    </w:lvl>
  </w:abstractNum>
  <w:abstractNum w:abstractNumId="57">
    <w:nsid w:val="FFFFFF7F"/>
    <w:multiLevelType w:val="singleLevel"/>
    <w:tmpl w:val="38441652"/>
    <w:lvl w:ilvl="0">
      <w:start w:val="1"/>
      <w:numFmt w:val="decimal"/>
      <w:pStyle w:val="Svc0_ListNumber2"/>
      <w:lvlText w:val="%1."/>
      <w:lvlJc w:val="left"/>
      <w:pPr>
        <w:tabs>
          <w:tab w:val="num" w:pos="720"/>
        </w:tabs>
        <w:ind w:left="720" w:hanging="360"/>
      </w:pPr>
    </w:lvl>
  </w:abstractNum>
  <w:abstractNum w:abstractNumId="58">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9">
    <w:nsid w:val="FFFFFF82"/>
    <w:multiLevelType w:val="singleLevel"/>
    <w:tmpl w:val="F3EAFDEC"/>
    <w:lvl w:ilvl="0">
      <w:start w:val="1"/>
      <w:numFmt w:val="bullet"/>
      <w:pStyle w:val="Svc0_ListBullet3"/>
      <w:lvlText w:val=""/>
      <w:lvlJc w:val="left"/>
      <w:pPr>
        <w:tabs>
          <w:tab w:val="num" w:pos="1080"/>
        </w:tabs>
        <w:ind w:left="1080" w:hanging="360"/>
      </w:pPr>
      <w:rPr>
        <w:rFonts w:ascii="Symbol" w:hAnsi="Symbol" w:hint="default"/>
      </w:rPr>
    </w:lvl>
  </w:abstractNum>
  <w:abstractNum w:abstractNumId="60">
    <w:nsid w:val="FFFFFF83"/>
    <w:multiLevelType w:val="singleLevel"/>
    <w:tmpl w:val="3D1EFFD4"/>
    <w:lvl w:ilvl="0">
      <w:start w:val="1"/>
      <w:numFmt w:val="bullet"/>
      <w:pStyle w:val="Svc0_ListBullet2"/>
      <w:lvlText w:val=""/>
      <w:lvlJc w:val="left"/>
      <w:pPr>
        <w:tabs>
          <w:tab w:val="num" w:pos="720"/>
        </w:tabs>
        <w:ind w:left="720" w:hanging="360"/>
      </w:pPr>
      <w:rPr>
        <w:rFonts w:ascii="Symbol" w:hAnsi="Symbol" w:hint="default"/>
      </w:rPr>
    </w:lvl>
  </w:abstractNum>
  <w:abstractNum w:abstractNumId="61">
    <w:nsid w:val="FFFFFF88"/>
    <w:multiLevelType w:val="singleLevel"/>
    <w:tmpl w:val="D0A62B40"/>
    <w:lvl w:ilvl="0">
      <w:start w:val="1"/>
      <w:numFmt w:val="decimal"/>
      <w:pStyle w:val="Svc0_ListNumber"/>
      <w:lvlText w:val="%1."/>
      <w:lvlJc w:val="left"/>
      <w:pPr>
        <w:tabs>
          <w:tab w:val="num" w:pos="360"/>
        </w:tabs>
        <w:ind w:left="360" w:hanging="360"/>
      </w:pPr>
    </w:lvl>
  </w:abstractNum>
  <w:abstractNum w:abstractNumId="62">
    <w:nsid w:val="FFFFFF89"/>
    <w:multiLevelType w:val="singleLevel"/>
    <w:tmpl w:val="29761A62"/>
    <w:lvl w:ilvl="0">
      <w:start w:val="1"/>
      <w:numFmt w:val="bullet"/>
      <w:pStyle w:val="Svc0_ListBullet"/>
      <w:lvlText w:val=""/>
      <w:lvlJc w:val="left"/>
      <w:pPr>
        <w:tabs>
          <w:tab w:val="num" w:pos="360"/>
        </w:tabs>
        <w:ind w:left="360" w:hanging="360"/>
      </w:pPr>
      <w:rPr>
        <w:rFonts w:ascii="Symbol" w:hAnsi="Symbol" w:hint="default"/>
      </w:rPr>
    </w:lvl>
  </w:abstractNum>
  <w:num w:numId="55">
    <w:abstractNumId w:val="62"/>
  </w:num>
  <w:num w:numId="56">
    <w:abstractNumId w:val="60"/>
  </w:num>
  <w:num w:numId="57">
    <w:abstractNumId w:val="59"/>
  </w:num>
  <w:num w:numId="58">
    <w:abstractNumId w:val="58"/>
  </w:num>
  <w:num w:numId="59">
    <w:abstractNumId w:val="61"/>
  </w:num>
  <w:num w:numId="60">
    <w:abstractNumId w:val="57"/>
  </w:num>
  <w:num w:numId="61">
    <w:abstractNumId w:val="56"/>
  </w:num>
  <w:num w:numId="62">
    <w:abstractNumId w:val="55"/>
  </w:num>
  <w:num w:numId="63">
    <w:abstractNumId w:val="54"/>
  </w:num>
  <w:abstractNum w:abstractNumId="63">
    <w:nsid w:val="FFFFFF7C"/>
    <w:multiLevelType w:val="singleLevel"/>
    <w:tmpl w:val="C310EC42"/>
    <w:lvl w:ilvl="0">
      <w:start w:val="1"/>
      <w:numFmt w:val="decimal"/>
      <w:lvlText w:val="%1."/>
      <w:lvlJc w:val="left"/>
      <w:pPr>
        <w:tabs>
          <w:tab w:val="num" w:pos="1800"/>
        </w:tabs>
        <w:ind w:left="1800" w:hanging="360"/>
      </w:pPr>
    </w:lvl>
  </w:abstractNum>
  <w:abstractNum w:abstractNumId="64">
    <w:nsid w:val="FFFFFF7D"/>
    <w:multiLevelType w:val="singleLevel"/>
    <w:tmpl w:val="E4089024"/>
    <w:lvl w:ilvl="0">
      <w:start w:val="1"/>
      <w:numFmt w:val="decimal"/>
      <w:lvlText w:val="%1."/>
      <w:lvlJc w:val="left"/>
      <w:pPr>
        <w:tabs>
          <w:tab w:val="num" w:pos="1440"/>
        </w:tabs>
        <w:ind w:left="1440" w:hanging="360"/>
      </w:pPr>
    </w:lvl>
  </w:abstractNum>
  <w:abstractNum w:abstractNumId="65">
    <w:nsid w:val="FFFFFF7E"/>
    <w:multiLevelType w:val="singleLevel"/>
    <w:tmpl w:val="FB12693A"/>
    <w:lvl w:ilvl="0">
      <w:start w:val="1"/>
      <w:numFmt w:val="decimal"/>
      <w:pStyle w:val="SvcHead0_ListNumber3"/>
      <w:lvlText w:val="%1."/>
      <w:lvlJc w:val="left"/>
      <w:pPr>
        <w:tabs>
          <w:tab w:val="num" w:pos="1080"/>
        </w:tabs>
        <w:ind w:left="1080" w:hanging="360"/>
      </w:pPr>
    </w:lvl>
  </w:abstractNum>
  <w:abstractNum w:abstractNumId="66">
    <w:nsid w:val="FFFFFF7F"/>
    <w:multiLevelType w:val="singleLevel"/>
    <w:tmpl w:val="38441652"/>
    <w:lvl w:ilvl="0">
      <w:start w:val="1"/>
      <w:numFmt w:val="decimal"/>
      <w:pStyle w:val="SvcHead0_ListNumber2"/>
      <w:lvlText w:val="%1."/>
      <w:lvlJc w:val="left"/>
      <w:pPr>
        <w:tabs>
          <w:tab w:val="num" w:pos="720"/>
        </w:tabs>
        <w:ind w:left="720" w:hanging="360"/>
      </w:pPr>
    </w:lvl>
  </w:abstractNum>
  <w:abstractNum w:abstractNumId="67">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8">
    <w:nsid w:val="FFFFFF82"/>
    <w:multiLevelType w:val="singleLevel"/>
    <w:tmpl w:val="F3EAFDEC"/>
    <w:lvl w:ilvl="0">
      <w:start w:val="1"/>
      <w:numFmt w:val="bullet"/>
      <w:pStyle w:val="SvcHead0_ListBullet3"/>
      <w:lvlText w:val=""/>
      <w:lvlJc w:val="left"/>
      <w:pPr>
        <w:tabs>
          <w:tab w:val="num" w:pos="1080"/>
        </w:tabs>
        <w:ind w:left="1080" w:hanging="360"/>
      </w:pPr>
      <w:rPr>
        <w:rFonts w:ascii="Symbol" w:hAnsi="Symbol" w:hint="default"/>
      </w:rPr>
    </w:lvl>
  </w:abstractNum>
  <w:abstractNum w:abstractNumId="69">
    <w:nsid w:val="FFFFFF83"/>
    <w:multiLevelType w:val="singleLevel"/>
    <w:tmpl w:val="3D1EFFD4"/>
    <w:lvl w:ilvl="0">
      <w:start w:val="1"/>
      <w:numFmt w:val="bullet"/>
      <w:pStyle w:val="SvcHead0_ListBullet2"/>
      <w:lvlText w:val=""/>
      <w:lvlJc w:val="left"/>
      <w:pPr>
        <w:tabs>
          <w:tab w:val="num" w:pos="720"/>
        </w:tabs>
        <w:ind w:left="720" w:hanging="360"/>
      </w:pPr>
      <w:rPr>
        <w:rFonts w:ascii="Symbol" w:hAnsi="Symbol" w:hint="default"/>
      </w:rPr>
    </w:lvl>
  </w:abstractNum>
  <w:abstractNum w:abstractNumId="70">
    <w:nsid w:val="FFFFFF88"/>
    <w:multiLevelType w:val="singleLevel"/>
    <w:tmpl w:val="D0A62B40"/>
    <w:lvl w:ilvl="0">
      <w:start w:val="1"/>
      <w:numFmt w:val="decimal"/>
      <w:pStyle w:val="SvcHead0_ListNumber"/>
      <w:lvlText w:val="%1."/>
      <w:lvlJc w:val="left"/>
      <w:pPr>
        <w:tabs>
          <w:tab w:val="num" w:pos="360"/>
        </w:tabs>
        <w:ind w:left="360" w:hanging="360"/>
      </w:pPr>
    </w:lvl>
  </w:abstractNum>
  <w:abstractNum w:abstractNumId="71">
    <w:nsid w:val="FFFFFF89"/>
    <w:multiLevelType w:val="singleLevel"/>
    <w:tmpl w:val="29761A62"/>
    <w:lvl w:ilvl="0">
      <w:start w:val="1"/>
      <w:numFmt w:val="bullet"/>
      <w:pStyle w:val="SvcHead0_ListBullet"/>
      <w:lvlText w:val=""/>
      <w:lvlJc w:val="left"/>
      <w:pPr>
        <w:tabs>
          <w:tab w:val="num" w:pos="360"/>
        </w:tabs>
        <w:ind w:left="360" w:hanging="360"/>
      </w:pPr>
      <w:rPr>
        <w:rFonts w:ascii="Symbol" w:hAnsi="Symbol" w:hint="default"/>
      </w:rPr>
    </w:lvl>
  </w:abstractNum>
  <w:num w:numId="64">
    <w:abstractNumId w:val="71"/>
  </w:num>
  <w:num w:numId="65">
    <w:abstractNumId w:val="69"/>
  </w:num>
  <w:num w:numId="66">
    <w:abstractNumId w:val="68"/>
  </w:num>
  <w:num w:numId="67">
    <w:abstractNumId w:val="67"/>
  </w:num>
  <w:num w:numId="68">
    <w:abstractNumId w:val="70"/>
  </w:num>
  <w:num w:numId="69">
    <w:abstractNumId w:val="66"/>
  </w:num>
  <w:num w:numId="70">
    <w:abstractNumId w:val="65"/>
  </w:num>
  <w:num w:numId="71">
    <w:abstractNumId w:val="64"/>
  </w:num>
  <w:num w:numId="72">
    <w:abstractNumId w:val="63"/>
  </w:num>
  <w:abstractNum w:abstractNumId="72">
    <w:nsid w:val="FFFFFF7C"/>
    <w:multiLevelType w:val="singleLevel"/>
    <w:tmpl w:val="C310EC42"/>
    <w:lvl w:ilvl="0">
      <w:start w:val="1"/>
      <w:numFmt w:val="decimal"/>
      <w:lvlText w:val="%1."/>
      <w:lvlJc w:val="left"/>
      <w:pPr>
        <w:tabs>
          <w:tab w:val="num" w:pos="1800"/>
        </w:tabs>
        <w:ind w:left="1800" w:hanging="360"/>
      </w:pPr>
    </w:lvl>
  </w:abstractNum>
  <w:abstractNum w:abstractNumId="73">
    <w:nsid w:val="FFFFFF7D"/>
    <w:multiLevelType w:val="singleLevel"/>
    <w:tmpl w:val="E4089024"/>
    <w:lvl w:ilvl="0">
      <w:start w:val="1"/>
      <w:numFmt w:val="decimal"/>
      <w:lvlText w:val="%1."/>
      <w:lvlJc w:val="left"/>
      <w:pPr>
        <w:tabs>
          <w:tab w:val="num" w:pos="1440"/>
        </w:tabs>
        <w:ind w:left="1440" w:hanging="360"/>
      </w:pPr>
    </w:lvl>
  </w:abstractNum>
  <w:abstractNum w:abstractNumId="74">
    <w:nsid w:val="FFFFFF7E"/>
    <w:multiLevelType w:val="singleLevel"/>
    <w:tmpl w:val="FB12693A"/>
    <w:lvl w:ilvl="0">
      <w:start w:val="1"/>
      <w:numFmt w:val="decimal"/>
      <w:pStyle w:val="Svc1_ListNumber3"/>
      <w:lvlText w:val="%1."/>
      <w:lvlJc w:val="left"/>
      <w:pPr>
        <w:tabs>
          <w:tab w:val="num" w:pos="1080"/>
        </w:tabs>
        <w:ind w:left="1080" w:hanging="360"/>
      </w:pPr>
    </w:lvl>
  </w:abstractNum>
  <w:abstractNum w:abstractNumId="75">
    <w:nsid w:val="FFFFFF7F"/>
    <w:multiLevelType w:val="singleLevel"/>
    <w:tmpl w:val="38441652"/>
    <w:lvl w:ilvl="0">
      <w:start w:val="1"/>
      <w:numFmt w:val="decimal"/>
      <w:pStyle w:val="Svc1_ListNumber2"/>
      <w:lvlText w:val="%1."/>
      <w:lvlJc w:val="left"/>
      <w:pPr>
        <w:tabs>
          <w:tab w:val="num" w:pos="720"/>
        </w:tabs>
        <w:ind w:left="720" w:hanging="360"/>
      </w:pPr>
    </w:lvl>
  </w:abstractNum>
  <w:abstractNum w:abstractNumId="76">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77">
    <w:nsid w:val="FFFFFF82"/>
    <w:multiLevelType w:val="singleLevel"/>
    <w:tmpl w:val="F3EAFDEC"/>
    <w:lvl w:ilvl="0">
      <w:start w:val="1"/>
      <w:numFmt w:val="bullet"/>
      <w:pStyle w:val="Svc1_ListBullet3"/>
      <w:lvlText w:val=""/>
      <w:lvlJc w:val="left"/>
      <w:pPr>
        <w:tabs>
          <w:tab w:val="num" w:pos="1080"/>
        </w:tabs>
        <w:ind w:left="1080" w:hanging="360"/>
      </w:pPr>
      <w:rPr>
        <w:rFonts w:ascii="Symbol" w:hAnsi="Symbol" w:hint="default"/>
      </w:rPr>
    </w:lvl>
  </w:abstractNum>
  <w:abstractNum w:abstractNumId="78">
    <w:nsid w:val="FFFFFF83"/>
    <w:multiLevelType w:val="singleLevel"/>
    <w:tmpl w:val="3D1EFFD4"/>
    <w:lvl w:ilvl="0">
      <w:start w:val="1"/>
      <w:numFmt w:val="bullet"/>
      <w:pStyle w:val="Svc1_ListBullet2"/>
      <w:lvlText w:val=""/>
      <w:lvlJc w:val="left"/>
      <w:pPr>
        <w:tabs>
          <w:tab w:val="num" w:pos="720"/>
        </w:tabs>
        <w:ind w:left="720" w:hanging="360"/>
      </w:pPr>
      <w:rPr>
        <w:rFonts w:ascii="Symbol" w:hAnsi="Symbol" w:hint="default"/>
      </w:rPr>
    </w:lvl>
  </w:abstractNum>
  <w:abstractNum w:abstractNumId="79">
    <w:nsid w:val="FFFFFF88"/>
    <w:multiLevelType w:val="singleLevel"/>
    <w:tmpl w:val="D0A62B40"/>
    <w:lvl w:ilvl="0">
      <w:start w:val="1"/>
      <w:numFmt w:val="decimal"/>
      <w:pStyle w:val="Svc1_ListNumber"/>
      <w:lvlText w:val="%1."/>
      <w:lvlJc w:val="left"/>
      <w:pPr>
        <w:tabs>
          <w:tab w:val="num" w:pos="360"/>
        </w:tabs>
        <w:ind w:left="360" w:hanging="360"/>
      </w:pPr>
    </w:lvl>
  </w:abstractNum>
  <w:abstractNum w:abstractNumId="80">
    <w:nsid w:val="FFFFFF89"/>
    <w:multiLevelType w:val="singleLevel"/>
    <w:tmpl w:val="29761A62"/>
    <w:lvl w:ilvl="0">
      <w:start w:val="1"/>
      <w:numFmt w:val="bullet"/>
      <w:pStyle w:val="Svc1_ListBullet"/>
      <w:lvlText w:val=""/>
      <w:lvlJc w:val="left"/>
      <w:pPr>
        <w:tabs>
          <w:tab w:val="num" w:pos="360"/>
        </w:tabs>
        <w:ind w:left="360" w:hanging="360"/>
      </w:pPr>
      <w:rPr>
        <w:rFonts w:ascii="Symbol" w:hAnsi="Symbol" w:hint="default"/>
      </w:rPr>
    </w:lvl>
  </w:abstractNum>
  <w:num w:numId="73">
    <w:abstractNumId w:val="80"/>
  </w:num>
  <w:num w:numId="74">
    <w:abstractNumId w:val="78"/>
  </w:num>
  <w:num w:numId="75">
    <w:abstractNumId w:val="77"/>
  </w:num>
  <w:num w:numId="76">
    <w:abstractNumId w:val="76"/>
  </w:num>
  <w:num w:numId="77">
    <w:abstractNumId w:val="79"/>
  </w:num>
  <w:num w:numId="78">
    <w:abstractNumId w:val="75"/>
  </w:num>
  <w:num w:numId="79">
    <w:abstractNumId w:val="74"/>
  </w:num>
  <w:num w:numId="80">
    <w:abstractNumId w:val="73"/>
  </w:num>
  <w:num w:numId="81">
    <w:abstractNumId w:val="72"/>
  </w:num>
  <w:abstractNum w:abstractNumId="81">
    <w:nsid w:val="FFFFFF7C"/>
    <w:multiLevelType w:val="singleLevel"/>
    <w:tmpl w:val="C310EC42"/>
    <w:lvl w:ilvl="0">
      <w:start w:val="1"/>
      <w:numFmt w:val="decimal"/>
      <w:lvlText w:val="%1."/>
      <w:lvlJc w:val="left"/>
      <w:pPr>
        <w:tabs>
          <w:tab w:val="num" w:pos="1800"/>
        </w:tabs>
        <w:ind w:left="1800" w:hanging="360"/>
      </w:pPr>
    </w:lvl>
  </w:abstractNum>
  <w:abstractNum w:abstractNumId="82">
    <w:nsid w:val="FFFFFF7D"/>
    <w:multiLevelType w:val="singleLevel"/>
    <w:tmpl w:val="E4089024"/>
    <w:lvl w:ilvl="0">
      <w:start w:val="1"/>
      <w:numFmt w:val="decimal"/>
      <w:lvlText w:val="%1."/>
      <w:lvlJc w:val="left"/>
      <w:pPr>
        <w:tabs>
          <w:tab w:val="num" w:pos="1440"/>
        </w:tabs>
        <w:ind w:left="1440" w:hanging="360"/>
      </w:pPr>
    </w:lvl>
  </w:abstractNum>
  <w:abstractNum w:abstractNumId="83">
    <w:nsid w:val="FFFFFF7E"/>
    <w:multiLevelType w:val="singleLevel"/>
    <w:tmpl w:val="FB12693A"/>
    <w:lvl w:ilvl="0">
      <w:start w:val="1"/>
      <w:numFmt w:val="decimal"/>
      <w:pStyle w:val="SvcHead1_ListNumber3"/>
      <w:lvlText w:val="%1."/>
      <w:lvlJc w:val="left"/>
      <w:pPr>
        <w:tabs>
          <w:tab w:val="num" w:pos="1080"/>
        </w:tabs>
        <w:ind w:left="1080" w:hanging="360"/>
      </w:pPr>
    </w:lvl>
  </w:abstractNum>
  <w:abstractNum w:abstractNumId="84">
    <w:nsid w:val="FFFFFF7F"/>
    <w:multiLevelType w:val="singleLevel"/>
    <w:tmpl w:val="38441652"/>
    <w:lvl w:ilvl="0">
      <w:start w:val="1"/>
      <w:numFmt w:val="decimal"/>
      <w:pStyle w:val="SvcHead1_ListNumber2"/>
      <w:lvlText w:val="%1."/>
      <w:lvlJc w:val="left"/>
      <w:pPr>
        <w:tabs>
          <w:tab w:val="num" w:pos="720"/>
        </w:tabs>
        <w:ind w:left="720" w:hanging="360"/>
      </w:pPr>
    </w:lvl>
  </w:abstractNum>
  <w:abstractNum w:abstractNumId="85">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86">
    <w:nsid w:val="FFFFFF82"/>
    <w:multiLevelType w:val="singleLevel"/>
    <w:tmpl w:val="F3EAFDEC"/>
    <w:lvl w:ilvl="0">
      <w:start w:val="1"/>
      <w:numFmt w:val="bullet"/>
      <w:pStyle w:val="SvcHead1_ListBullet3"/>
      <w:lvlText w:val=""/>
      <w:lvlJc w:val="left"/>
      <w:pPr>
        <w:tabs>
          <w:tab w:val="num" w:pos="1080"/>
        </w:tabs>
        <w:ind w:left="1080" w:hanging="360"/>
      </w:pPr>
      <w:rPr>
        <w:rFonts w:ascii="Symbol" w:hAnsi="Symbol" w:hint="default"/>
      </w:rPr>
    </w:lvl>
  </w:abstractNum>
  <w:abstractNum w:abstractNumId="87">
    <w:nsid w:val="FFFFFF83"/>
    <w:multiLevelType w:val="singleLevel"/>
    <w:tmpl w:val="3D1EFFD4"/>
    <w:lvl w:ilvl="0">
      <w:start w:val="1"/>
      <w:numFmt w:val="bullet"/>
      <w:pStyle w:val="SvcHead1_ListBullet2"/>
      <w:lvlText w:val=""/>
      <w:lvlJc w:val="left"/>
      <w:pPr>
        <w:tabs>
          <w:tab w:val="num" w:pos="720"/>
        </w:tabs>
        <w:ind w:left="720" w:hanging="360"/>
      </w:pPr>
      <w:rPr>
        <w:rFonts w:ascii="Symbol" w:hAnsi="Symbol" w:hint="default"/>
      </w:rPr>
    </w:lvl>
  </w:abstractNum>
  <w:abstractNum w:abstractNumId="88">
    <w:nsid w:val="FFFFFF88"/>
    <w:multiLevelType w:val="singleLevel"/>
    <w:tmpl w:val="D0A62B40"/>
    <w:lvl w:ilvl="0">
      <w:start w:val="1"/>
      <w:numFmt w:val="decimal"/>
      <w:pStyle w:val="SvcHead1_ListNumber"/>
      <w:lvlText w:val="%1."/>
      <w:lvlJc w:val="left"/>
      <w:pPr>
        <w:tabs>
          <w:tab w:val="num" w:pos="360"/>
        </w:tabs>
        <w:ind w:left="360" w:hanging="360"/>
      </w:pPr>
    </w:lvl>
  </w:abstractNum>
  <w:abstractNum w:abstractNumId="89">
    <w:nsid w:val="FFFFFF89"/>
    <w:multiLevelType w:val="singleLevel"/>
    <w:tmpl w:val="29761A62"/>
    <w:lvl w:ilvl="0">
      <w:start w:val="1"/>
      <w:numFmt w:val="bullet"/>
      <w:pStyle w:val="SvcHead1_ListBullet"/>
      <w:lvlText w:val=""/>
      <w:lvlJc w:val="left"/>
      <w:pPr>
        <w:tabs>
          <w:tab w:val="num" w:pos="360"/>
        </w:tabs>
        <w:ind w:left="360" w:hanging="360"/>
      </w:pPr>
      <w:rPr>
        <w:rFonts w:ascii="Symbol" w:hAnsi="Symbol" w:hint="default"/>
      </w:rPr>
    </w:lvl>
  </w:abstractNum>
  <w:num w:numId="82">
    <w:abstractNumId w:val="89"/>
  </w:num>
  <w:num w:numId="83">
    <w:abstractNumId w:val="87"/>
  </w:num>
  <w:num w:numId="84">
    <w:abstractNumId w:val="86"/>
  </w:num>
  <w:num w:numId="85">
    <w:abstractNumId w:val="85"/>
  </w:num>
  <w:num w:numId="86">
    <w:abstractNumId w:val="88"/>
  </w:num>
  <w:num w:numId="87">
    <w:abstractNumId w:val="84"/>
  </w:num>
  <w:num w:numId="88">
    <w:abstractNumId w:val="83"/>
  </w:num>
  <w:num w:numId="89">
    <w:abstractNumId w:val="82"/>
  </w:num>
  <w:num w:numId="90">
    <w:abstractNumId w:val="81"/>
  </w:num>
  <w:abstractNum w:abstractNumId="90">
    <w:nsid w:val="FFFFFF7C"/>
    <w:multiLevelType w:val="singleLevel"/>
    <w:tmpl w:val="C310EC42"/>
    <w:lvl w:ilvl="0">
      <w:start w:val="1"/>
      <w:numFmt w:val="decimal"/>
      <w:lvlText w:val="%1."/>
      <w:lvlJc w:val="left"/>
      <w:pPr>
        <w:tabs>
          <w:tab w:val="num" w:pos="1800"/>
        </w:tabs>
        <w:ind w:left="1800" w:hanging="360"/>
      </w:pPr>
    </w:lvl>
  </w:abstractNum>
  <w:abstractNum w:abstractNumId="91">
    <w:nsid w:val="FFFFFF7D"/>
    <w:multiLevelType w:val="singleLevel"/>
    <w:tmpl w:val="E4089024"/>
    <w:lvl w:ilvl="0">
      <w:start w:val="1"/>
      <w:numFmt w:val="decimal"/>
      <w:lvlText w:val="%1."/>
      <w:lvlJc w:val="left"/>
      <w:pPr>
        <w:tabs>
          <w:tab w:val="num" w:pos="1440"/>
        </w:tabs>
        <w:ind w:left="1440" w:hanging="360"/>
      </w:pPr>
    </w:lvl>
  </w:abstractNum>
  <w:abstractNum w:abstractNumId="92">
    <w:nsid w:val="FFFFFF7E"/>
    <w:multiLevelType w:val="singleLevel"/>
    <w:tmpl w:val="FB12693A"/>
    <w:lvl w:ilvl="0">
      <w:start w:val="1"/>
      <w:numFmt w:val="decimal"/>
      <w:pStyle w:val="Legacy0_ListNumber3"/>
      <w:lvlText w:val="%1."/>
      <w:lvlJc w:val="left"/>
      <w:pPr>
        <w:tabs>
          <w:tab w:val="num" w:pos="1080"/>
        </w:tabs>
        <w:ind w:left="1080" w:hanging="360"/>
      </w:pPr>
    </w:lvl>
  </w:abstractNum>
  <w:abstractNum w:abstractNumId="93">
    <w:nsid w:val="FFFFFF7F"/>
    <w:multiLevelType w:val="singleLevel"/>
    <w:tmpl w:val="38441652"/>
    <w:lvl w:ilvl="0">
      <w:start w:val="1"/>
      <w:numFmt w:val="decimal"/>
      <w:pStyle w:val="Legacy0_ListNumber2"/>
      <w:lvlText w:val="%1."/>
      <w:lvlJc w:val="left"/>
      <w:pPr>
        <w:tabs>
          <w:tab w:val="num" w:pos="720"/>
        </w:tabs>
        <w:ind w:left="720" w:hanging="360"/>
      </w:pPr>
    </w:lvl>
  </w:abstractNum>
  <w:abstractNum w:abstractNumId="9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95">
    <w:nsid w:val="FFFFFF82"/>
    <w:multiLevelType w:val="singleLevel"/>
    <w:tmpl w:val="F3EAFDEC"/>
    <w:lvl w:ilvl="0">
      <w:start w:val="1"/>
      <w:numFmt w:val="bullet"/>
      <w:pStyle w:val="Legacy0_ListBullet3"/>
      <w:lvlText w:val=""/>
      <w:lvlJc w:val="left"/>
      <w:pPr>
        <w:tabs>
          <w:tab w:val="num" w:pos="1080"/>
        </w:tabs>
        <w:ind w:left="1080" w:hanging="360"/>
      </w:pPr>
      <w:rPr>
        <w:rFonts w:ascii="Symbol" w:hAnsi="Symbol" w:hint="default"/>
      </w:rPr>
    </w:lvl>
  </w:abstractNum>
  <w:abstractNum w:abstractNumId="96">
    <w:nsid w:val="FFFFFF83"/>
    <w:multiLevelType w:val="singleLevel"/>
    <w:tmpl w:val="3D1EFFD4"/>
    <w:lvl w:ilvl="0">
      <w:start w:val="1"/>
      <w:numFmt w:val="bullet"/>
      <w:pStyle w:val="Legacy0_ListBullet2"/>
      <w:lvlText w:val=""/>
      <w:lvlJc w:val="left"/>
      <w:pPr>
        <w:tabs>
          <w:tab w:val="num" w:pos="720"/>
        </w:tabs>
        <w:ind w:left="720" w:hanging="360"/>
      </w:pPr>
      <w:rPr>
        <w:rFonts w:ascii="Symbol" w:hAnsi="Symbol" w:hint="default"/>
      </w:rPr>
    </w:lvl>
  </w:abstractNum>
  <w:abstractNum w:abstractNumId="97">
    <w:nsid w:val="FFFFFF88"/>
    <w:multiLevelType w:val="singleLevel"/>
    <w:tmpl w:val="D0A62B40"/>
    <w:lvl w:ilvl="0">
      <w:start w:val="1"/>
      <w:numFmt w:val="decimal"/>
      <w:pStyle w:val="Legacy0_ListNumber"/>
      <w:lvlText w:val="%1."/>
      <w:lvlJc w:val="left"/>
      <w:pPr>
        <w:tabs>
          <w:tab w:val="num" w:pos="360"/>
        </w:tabs>
        <w:ind w:left="360" w:hanging="360"/>
      </w:pPr>
    </w:lvl>
  </w:abstractNum>
  <w:abstractNum w:abstractNumId="98">
    <w:nsid w:val="FFFFFF89"/>
    <w:multiLevelType w:val="singleLevel"/>
    <w:tmpl w:val="29761A62"/>
    <w:lvl w:ilvl="0">
      <w:start w:val="1"/>
      <w:numFmt w:val="bullet"/>
      <w:pStyle w:val="Legacy0_ListBullet"/>
      <w:lvlText w:val=""/>
      <w:lvlJc w:val="left"/>
      <w:pPr>
        <w:tabs>
          <w:tab w:val="num" w:pos="360"/>
        </w:tabs>
        <w:ind w:left="360" w:hanging="360"/>
      </w:pPr>
      <w:rPr>
        <w:rFonts w:ascii="Symbol" w:hAnsi="Symbol" w:hint="default"/>
      </w:rPr>
    </w:lvl>
  </w:abstractNum>
  <w:num w:numId="91">
    <w:abstractNumId w:val="98"/>
  </w:num>
  <w:num w:numId="92">
    <w:abstractNumId w:val="96"/>
  </w:num>
  <w:num w:numId="93">
    <w:abstractNumId w:val="95"/>
  </w:num>
  <w:num w:numId="94">
    <w:abstractNumId w:val="94"/>
  </w:num>
  <w:num w:numId="95">
    <w:abstractNumId w:val="97"/>
  </w:num>
  <w:num w:numId="96">
    <w:abstractNumId w:val="93"/>
  </w:num>
  <w:num w:numId="97">
    <w:abstractNumId w:val="92"/>
  </w:num>
  <w:num w:numId="98">
    <w:abstractNumId w:val="91"/>
  </w:num>
  <w:num w:numId="99">
    <w:abstractNumId w:val="90"/>
  </w:num>
  <w:abstractNum w:abstractNumId="99">
    <w:nsid w:val="FFFFFF7C"/>
    <w:multiLevelType w:val="singleLevel"/>
    <w:tmpl w:val="C310EC42"/>
    <w:lvl w:ilvl="0">
      <w:start w:val="1"/>
      <w:numFmt w:val="decimal"/>
      <w:lvlText w:val="%1."/>
      <w:lvlJc w:val="left"/>
      <w:pPr>
        <w:tabs>
          <w:tab w:val="num" w:pos="1800"/>
        </w:tabs>
        <w:ind w:left="1800" w:hanging="360"/>
      </w:pPr>
    </w:lvl>
  </w:abstractNum>
  <w:abstractNum w:abstractNumId="100">
    <w:nsid w:val="FFFFFF7D"/>
    <w:multiLevelType w:val="singleLevel"/>
    <w:tmpl w:val="E4089024"/>
    <w:lvl w:ilvl="0">
      <w:start w:val="1"/>
      <w:numFmt w:val="decimal"/>
      <w:lvlText w:val="%1."/>
      <w:lvlJc w:val="left"/>
      <w:pPr>
        <w:tabs>
          <w:tab w:val="num" w:pos="1440"/>
        </w:tabs>
        <w:ind w:left="1440" w:hanging="360"/>
      </w:pPr>
    </w:lvl>
  </w:abstractNum>
  <w:abstractNum w:abstractNumId="101">
    <w:nsid w:val="FFFFFF7E"/>
    <w:multiLevelType w:val="singleLevel"/>
    <w:tmpl w:val="FB12693A"/>
    <w:lvl w:ilvl="0">
      <w:start w:val="1"/>
      <w:numFmt w:val="decimal"/>
      <w:pStyle w:val="LegacyHead0_ListNumber3"/>
      <w:lvlText w:val="%1."/>
      <w:lvlJc w:val="left"/>
      <w:pPr>
        <w:tabs>
          <w:tab w:val="num" w:pos="1080"/>
        </w:tabs>
        <w:ind w:left="1080" w:hanging="360"/>
      </w:pPr>
    </w:lvl>
  </w:abstractNum>
  <w:abstractNum w:abstractNumId="102">
    <w:nsid w:val="FFFFFF7F"/>
    <w:multiLevelType w:val="singleLevel"/>
    <w:tmpl w:val="38441652"/>
    <w:lvl w:ilvl="0">
      <w:start w:val="1"/>
      <w:numFmt w:val="decimal"/>
      <w:pStyle w:val="LegacyHead0_ListNumber2"/>
      <w:lvlText w:val="%1."/>
      <w:lvlJc w:val="left"/>
      <w:pPr>
        <w:tabs>
          <w:tab w:val="num" w:pos="720"/>
        </w:tabs>
        <w:ind w:left="720" w:hanging="360"/>
      </w:pPr>
    </w:lvl>
  </w:abstractNum>
  <w:abstractNum w:abstractNumId="103">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04">
    <w:nsid w:val="FFFFFF82"/>
    <w:multiLevelType w:val="singleLevel"/>
    <w:tmpl w:val="F3EAFDEC"/>
    <w:lvl w:ilvl="0">
      <w:start w:val="1"/>
      <w:numFmt w:val="bullet"/>
      <w:pStyle w:val="LegacyHead0_ListBullet3"/>
      <w:lvlText w:val=""/>
      <w:lvlJc w:val="left"/>
      <w:pPr>
        <w:tabs>
          <w:tab w:val="num" w:pos="1080"/>
        </w:tabs>
        <w:ind w:left="1080" w:hanging="360"/>
      </w:pPr>
      <w:rPr>
        <w:rFonts w:ascii="Symbol" w:hAnsi="Symbol" w:hint="default"/>
      </w:rPr>
    </w:lvl>
  </w:abstractNum>
  <w:abstractNum w:abstractNumId="105">
    <w:nsid w:val="FFFFFF83"/>
    <w:multiLevelType w:val="singleLevel"/>
    <w:tmpl w:val="3D1EFFD4"/>
    <w:lvl w:ilvl="0">
      <w:start w:val="1"/>
      <w:numFmt w:val="bullet"/>
      <w:pStyle w:val="LegacyHead0_ListBullet2"/>
      <w:lvlText w:val=""/>
      <w:lvlJc w:val="left"/>
      <w:pPr>
        <w:tabs>
          <w:tab w:val="num" w:pos="720"/>
        </w:tabs>
        <w:ind w:left="720" w:hanging="360"/>
      </w:pPr>
      <w:rPr>
        <w:rFonts w:ascii="Symbol" w:hAnsi="Symbol" w:hint="default"/>
      </w:rPr>
    </w:lvl>
  </w:abstractNum>
  <w:abstractNum w:abstractNumId="106">
    <w:nsid w:val="FFFFFF88"/>
    <w:multiLevelType w:val="singleLevel"/>
    <w:tmpl w:val="D0A62B40"/>
    <w:lvl w:ilvl="0">
      <w:start w:val="1"/>
      <w:numFmt w:val="decimal"/>
      <w:pStyle w:val="LegacyHead0_ListNumber"/>
      <w:lvlText w:val="%1."/>
      <w:lvlJc w:val="left"/>
      <w:pPr>
        <w:tabs>
          <w:tab w:val="num" w:pos="360"/>
        </w:tabs>
        <w:ind w:left="360" w:hanging="360"/>
      </w:pPr>
    </w:lvl>
  </w:abstractNum>
  <w:abstractNum w:abstractNumId="107">
    <w:nsid w:val="FFFFFF89"/>
    <w:multiLevelType w:val="singleLevel"/>
    <w:tmpl w:val="29761A62"/>
    <w:lvl w:ilvl="0">
      <w:start w:val="1"/>
      <w:numFmt w:val="bullet"/>
      <w:pStyle w:val="LegacyHead0_ListBullet"/>
      <w:lvlText w:val=""/>
      <w:lvlJc w:val="left"/>
      <w:pPr>
        <w:tabs>
          <w:tab w:val="num" w:pos="360"/>
        </w:tabs>
        <w:ind w:left="360" w:hanging="360"/>
      </w:pPr>
      <w:rPr>
        <w:rFonts w:ascii="Symbol" w:hAnsi="Symbol" w:hint="default"/>
      </w:rPr>
    </w:lvl>
  </w:abstractNum>
  <w:num w:numId="100">
    <w:abstractNumId w:val="107"/>
  </w:num>
  <w:num w:numId="101">
    <w:abstractNumId w:val="105"/>
  </w:num>
  <w:num w:numId="102">
    <w:abstractNumId w:val="104"/>
  </w:num>
  <w:num w:numId="103">
    <w:abstractNumId w:val="103"/>
  </w:num>
  <w:num w:numId="104">
    <w:abstractNumId w:val="106"/>
  </w:num>
  <w:num w:numId="105">
    <w:abstractNumId w:val="102"/>
  </w:num>
  <w:num w:numId="106">
    <w:abstractNumId w:val="101"/>
  </w:num>
  <w:num w:numId="107">
    <w:abstractNumId w:val="100"/>
  </w:num>
  <w:num w:numId="108">
    <w:abstractNumId w:val="99"/>
  </w:num>
  <w:abstractNum w:abstractNumId="108">
    <w:nsid w:val="FFFFFF7C"/>
    <w:multiLevelType w:val="singleLevel"/>
    <w:tmpl w:val="C310EC42"/>
    <w:lvl w:ilvl="0">
      <w:start w:val="1"/>
      <w:numFmt w:val="decimal"/>
      <w:lvlText w:val="%1."/>
      <w:lvlJc w:val="left"/>
      <w:pPr>
        <w:tabs>
          <w:tab w:val="num" w:pos="1800"/>
        </w:tabs>
        <w:ind w:left="1800" w:hanging="360"/>
      </w:pPr>
    </w:lvl>
  </w:abstractNum>
  <w:abstractNum w:abstractNumId="109">
    <w:nsid w:val="FFFFFF7D"/>
    <w:multiLevelType w:val="singleLevel"/>
    <w:tmpl w:val="E4089024"/>
    <w:lvl w:ilvl="0">
      <w:start w:val="1"/>
      <w:numFmt w:val="decimal"/>
      <w:lvlText w:val="%1."/>
      <w:lvlJc w:val="left"/>
      <w:pPr>
        <w:tabs>
          <w:tab w:val="num" w:pos="1440"/>
        </w:tabs>
        <w:ind w:left="1440" w:hanging="360"/>
      </w:pPr>
    </w:lvl>
  </w:abstractNum>
  <w:abstractNum w:abstractNumId="110">
    <w:nsid w:val="FFFFFF7E"/>
    <w:multiLevelType w:val="singleLevel"/>
    <w:tmpl w:val="FB12693A"/>
    <w:lvl w:ilvl="0">
      <w:start w:val="1"/>
      <w:numFmt w:val="decimal"/>
      <w:pStyle w:val="Legacy1_ListNumber3"/>
      <w:lvlText w:val="%1."/>
      <w:lvlJc w:val="left"/>
      <w:pPr>
        <w:tabs>
          <w:tab w:val="num" w:pos="1080"/>
        </w:tabs>
        <w:ind w:left="1080" w:hanging="360"/>
      </w:pPr>
    </w:lvl>
  </w:abstractNum>
  <w:abstractNum w:abstractNumId="111">
    <w:nsid w:val="FFFFFF7F"/>
    <w:multiLevelType w:val="singleLevel"/>
    <w:tmpl w:val="38441652"/>
    <w:lvl w:ilvl="0">
      <w:start w:val="1"/>
      <w:numFmt w:val="decimal"/>
      <w:pStyle w:val="Legacy1_ListNumber2"/>
      <w:lvlText w:val="%1."/>
      <w:lvlJc w:val="left"/>
      <w:pPr>
        <w:tabs>
          <w:tab w:val="num" w:pos="720"/>
        </w:tabs>
        <w:ind w:left="720" w:hanging="360"/>
      </w:pPr>
    </w:lvl>
  </w:abstractNum>
  <w:abstractNum w:abstractNumId="112">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13">
    <w:nsid w:val="FFFFFF82"/>
    <w:multiLevelType w:val="singleLevel"/>
    <w:tmpl w:val="F3EAFDEC"/>
    <w:lvl w:ilvl="0">
      <w:start w:val="1"/>
      <w:numFmt w:val="bullet"/>
      <w:pStyle w:val="Legacy1_ListBullet3"/>
      <w:lvlText w:val=""/>
      <w:lvlJc w:val="left"/>
      <w:pPr>
        <w:tabs>
          <w:tab w:val="num" w:pos="1080"/>
        </w:tabs>
        <w:ind w:left="1080" w:hanging="360"/>
      </w:pPr>
      <w:rPr>
        <w:rFonts w:ascii="Symbol" w:hAnsi="Symbol" w:hint="default"/>
      </w:rPr>
    </w:lvl>
  </w:abstractNum>
  <w:abstractNum w:abstractNumId="114">
    <w:nsid w:val="FFFFFF83"/>
    <w:multiLevelType w:val="singleLevel"/>
    <w:tmpl w:val="3D1EFFD4"/>
    <w:lvl w:ilvl="0">
      <w:start w:val="1"/>
      <w:numFmt w:val="bullet"/>
      <w:pStyle w:val="Legacy1_ListBullet2"/>
      <w:lvlText w:val=""/>
      <w:lvlJc w:val="left"/>
      <w:pPr>
        <w:tabs>
          <w:tab w:val="num" w:pos="720"/>
        </w:tabs>
        <w:ind w:left="720" w:hanging="360"/>
      </w:pPr>
      <w:rPr>
        <w:rFonts w:ascii="Symbol" w:hAnsi="Symbol" w:hint="default"/>
      </w:rPr>
    </w:lvl>
  </w:abstractNum>
  <w:abstractNum w:abstractNumId="115">
    <w:nsid w:val="FFFFFF88"/>
    <w:multiLevelType w:val="singleLevel"/>
    <w:tmpl w:val="D0A62B40"/>
    <w:lvl w:ilvl="0">
      <w:start w:val="1"/>
      <w:numFmt w:val="decimal"/>
      <w:pStyle w:val="Legacy1_ListNumber"/>
      <w:lvlText w:val="%1."/>
      <w:lvlJc w:val="left"/>
      <w:pPr>
        <w:tabs>
          <w:tab w:val="num" w:pos="360"/>
        </w:tabs>
        <w:ind w:left="360" w:hanging="360"/>
      </w:pPr>
    </w:lvl>
  </w:abstractNum>
  <w:abstractNum w:abstractNumId="116">
    <w:nsid w:val="FFFFFF89"/>
    <w:multiLevelType w:val="singleLevel"/>
    <w:tmpl w:val="29761A62"/>
    <w:lvl w:ilvl="0">
      <w:start w:val="1"/>
      <w:numFmt w:val="bullet"/>
      <w:pStyle w:val="Legacy1_ListBullet"/>
      <w:lvlText w:val=""/>
      <w:lvlJc w:val="left"/>
      <w:pPr>
        <w:tabs>
          <w:tab w:val="num" w:pos="360"/>
        </w:tabs>
        <w:ind w:left="360" w:hanging="360"/>
      </w:pPr>
      <w:rPr>
        <w:rFonts w:ascii="Symbol" w:hAnsi="Symbol" w:hint="default"/>
      </w:rPr>
    </w:lvl>
  </w:abstractNum>
  <w:num w:numId="109">
    <w:abstractNumId w:val="116"/>
  </w:num>
  <w:num w:numId="110">
    <w:abstractNumId w:val="114"/>
  </w:num>
  <w:num w:numId="111">
    <w:abstractNumId w:val="113"/>
  </w:num>
  <w:num w:numId="112">
    <w:abstractNumId w:val="112"/>
  </w:num>
  <w:num w:numId="113">
    <w:abstractNumId w:val="115"/>
  </w:num>
  <w:num w:numId="114">
    <w:abstractNumId w:val="111"/>
  </w:num>
  <w:num w:numId="115">
    <w:abstractNumId w:val="110"/>
  </w:num>
  <w:num w:numId="116">
    <w:abstractNumId w:val="109"/>
  </w:num>
  <w:num w:numId="117">
    <w:abstractNumId w:val="108"/>
  </w:num>
  <w:abstractNum w:abstractNumId="117">
    <w:nsid w:val="FFFFFF7C"/>
    <w:multiLevelType w:val="singleLevel"/>
    <w:tmpl w:val="C310EC42"/>
    <w:lvl w:ilvl="0">
      <w:start w:val="1"/>
      <w:numFmt w:val="decimal"/>
      <w:lvlText w:val="%1."/>
      <w:lvlJc w:val="left"/>
      <w:pPr>
        <w:tabs>
          <w:tab w:val="num" w:pos="1800"/>
        </w:tabs>
        <w:ind w:left="1800" w:hanging="360"/>
      </w:pPr>
    </w:lvl>
  </w:abstractNum>
  <w:abstractNum w:abstractNumId="118">
    <w:nsid w:val="FFFFFF7D"/>
    <w:multiLevelType w:val="singleLevel"/>
    <w:tmpl w:val="E4089024"/>
    <w:lvl w:ilvl="0">
      <w:start w:val="1"/>
      <w:numFmt w:val="decimal"/>
      <w:lvlText w:val="%1."/>
      <w:lvlJc w:val="left"/>
      <w:pPr>
        <w:tabs>
          <w:tab w:val="num" w:pos="1440"/>
        </w:tabs>
        <w:ind w:left="1440" w:hanging="360"/>
      </w:pPr>
    </w:lvl>
  </w:abstractNum>
  <w:abstractNum w:abstractNumId="119">
    <w:nsid w:val="FFFFFF7E"/>
    <w:multiLevelType w:val="singleLevel"/>
    <w:tmpl w:val="FB12693A"/>
    <w:lvl w:ilvl="0">
      <w:start w:val="1"/>
      <w:numFmt w:val="decimal"/>
      <w:pStyle w:val="LegacyHead1_ListNumber3"/>
      <w:lvlText w:val="%1."/>
      <w:lvlJc w:val="left"/>
      <w:pPr>
        <w:tabs>
          <w:tab w:val="num" w:pos="1080"/>
        </w:tabs>
        <w:ind w:left="1080" w:hanging="360"/>
      </w:pPr>
    </w:lvl>
  </w:abstractNum>
  <w:abstractNum w:abstractNumId="120">
    <w:nsid w:val="FFFFFF7F"/>
    <w:multiLevelType w:val="singleLevel"/>
    <w:tmpl w:val="38441652"/>
    <w:lvl w:ilvl="0">
      <w:start w:val="1"/>
      <w:numFmt w:val="decimal"/>
      <w:pStyle w:val="LegacyHead1_ListNumber2"/>
      <w:lvlText w:val="%1."/>
      <w:lvlJc w:val="left"/>
      <w:pPr>
        <w:tabs>
          <w:tab w:val="num" w:pos="720"/>
        </w:tabs>
        <w:ind w:left="720" w:hanging="360"/>
      </w:pPr>
    </w:lvl>
  </w:abstractNum>
  <w:abstractNum w:abstractNumId="121">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22">
    <w:nsid w:val="FFFFFF82"/>
    <w:multiLevelType w:val="singleLevel"/>
    <w:tmpl w:val="F3EAFDEC"/>
    <w:lvl w:ilvl="0">
      <w:start w:val="1"/>
      <w:numFmt w:val="bullet"/>
      <w:pStyle w:val="LegacyHead1_ListBullet3"/>
      <w:lvlText w:val=""/>
      <w:lvlJc w:val="left"/>
      <w:pPr>
        <w:tabs>
          <w:tab w:val="num" w:pos="1080"/>
        </w:tabs>
        <w:ind w:left="1080" w:hanging="360"/>
      </w:pPr>
      <w:rPr>
        <w:rFonts w:ascii="Symbol" w:hAnsi="Symbol" w:hint="default"/>
      </w:rPr>
    </w:lvl>
  </w:abstractNum>
  <w:abstractNum w:abstractNumId="123">
    <w:nsid w:val="FFFFFF83"/>
    <w:multiLevelType w:val="singleLevel"/>
    <w:tmpl w:val="3D1EFFD4"/>
    <w:lvl w:ilvl="0">
      <w:start w:val="1"/>
      <w:numFmt w:val="bullet"/>
      <w:pStyle w:val="LegacyHead1_ListBullet2"/>
      <w:lvlText w:val=""/>
      <w:lvlJc w:val="left"/>
      <w:pPr>
        <w:tabs>
          <w:tab w:val="num" w:pos="720"/>
        </w:tabs>
        <w:ind w:left="720" w:hanging="360"/>
      </w:pPr>
      <w:rPr>
        <w:rFonts w:ascii="Symbol" w:hAnsi="Symbol" w:hint="default"/>
      </w:rPr>
    </w:lvl>
  </w:abstractNum>
  <w:abstractNum w:abstractNumId="124">
    <w:nsid w:val="FFFFFF88"/>
    <w:multiLevelType w:val="singleLevel"/>
    <w:tmpl w:val="D0A62B40"/>
    <w:lvl w:ilvl="0">
      <w:start w:val="1"/>
      <w:numFmt w:val="decimal"/>
      <w:pStyle w:val="LegacyHead1_ListNumber"/>
      <w:lvlText w:val="%1."/>
      <w:lvlJc w:val="left"/>
      <w:pPr>
        <w:tabs>
          <w:tab w:val="num" w:pos="360"/>
        </w:tabs>
        <w:ind w:left="360" w:hanging="360"/>
      </w:pPr>
    </w:lvl>
  </w:abstractNum>
  <w:abstractNum w:abstractNumId="125">
    <w:nsid w:val="FFFFFF89"/>
    <w:multiLevelType w:val="singleLevel"/>
    <w:tmpl w:val="29761A62"/>
    <w:lvl w:ilvl="0">
      <w:start w:val="1"/>
      <w:numFmt w:val="bullet"/>
      <w:pStyle w:val="LegacyHead1_ListBullet"/>
      <w:lvlText w:val=""/>
      <w:lvlJc w:val="left"/>
      <w:pPr>
        <w:tabs>
          <w:tab w:val="num" w:pos="360"/>
        </w:tabs>
        <w:ind w:left="360" w:hanging="360"/>
      </w:pPr>
      <w:rPr>
        <w:rFonts w:ascii="Symbol" w:hAnsi="Symbol" w:hint="default"/>
      </w:rPr>
    </w:lvl>
  </w:abstractNum>
  <w:num w:numId="118">
    <w:abstractNumId w:val="125"/>
  </w:num>
  <w:num w:numId="119">
    <w:abstractNumId w:val="123"/>
  </w:num>
  <w:num w:numId="120">
    <w:abstractNumId w:val="122"/>
  </w:num>
  <w:num w:numId="121">
    <w:abstractNumId w:val="121"/>
  </w:num>
  <w:num w:numId="122">
    <w:abstractNumId w:val="124"/>
  </w:num>
  <w:num w:numId="123">
    <w:abstractNumId w:val="120"/>
  </w:num>
  <w:num w:numId="124">
    <w:abstractNumId w:val="119"/>
  </w:num>
  <w:num w:numId="125">
    <w:abstractNumId w:val="118"/>
  </w:num>
  <w:num w:numId="126">
    <w:abstractNumId w:val="117"/>
  </w:num>
  <w:abstractNum w:abstractNumId="126">
    <w:nsid w:val="FFFFFF7C"/>
    <w:multiLevelType w:val="singleLevel"/>
    <w:tmpl w:val="C310EC42"/>
    <w:lvl w:ilvl="0">
      <w:start w:val="1"/>
      <w:numFmt w:val="decimal"/>
      <w:lvlText w:val="%1."/>
      <w:lvlJc w:val="left"/>
      <w:pPr>
        <w:tabs>
          <w:tab w:val="num" w:pos="1800"/>
        </w:tabs>
        <w:ind w:left="1800" w:hanging="360"/>
      </w:pPr>
    </w:lvl>
  </w:abstractNum>
  <w:abstractNum w:abstractNumId="127">
    <w:nsid w:val="FFFFFF7D"/>
    <w:multiLevelType w:val="singleLevel"/>
    <w:tmpl w:val="E4089024"/>
    <w:lvl w:ilvl="0">
      <w:start w:val="1"/>
      <w:numFmt w:val="decimal"/>
      <w:lvlText w:val="%1."/>
      <w:lvlJc w:val="left"/>
      <w:pPr>
        <w:tabs>
          <w:tab w:val="num" w:pos="1440"/>
        </w:tabs>
        <w:ind w:left="1440" w:hanging="360"/>
      </w:pPr>
    </w:lvl>
  </w:abstractNum>
  <w:abstractNum w:abstractNumId="128">
    <w:nsid w:val="FFFFFF7E"/>
    <w:multiLevelType w:val="singleLevel"/>
    <w:tmpl w:val="FB12693A"/>
    <w:lvl w:ilvl="0">
      <w:start w:val="1"/>
      <w:numFmt w:val="decimal"/>
      <w:pStyle w:val="Legacy2_ListNumber3"/>
      <w:lvlText w:val="%1."/>
      <w:lvlJc w:val="left"/>
      <w:pPr>
        <w:tabs>
          <w:tab w:val="num" w:pos="1080"/>
        </w:tabs>
        <w:ind w:left="1080" w:hanging="360"/>
      </w:pPr>
    </w:lvl>
  </w:abstractNum>
  <w:abstractNum w:abstractNumId="129">
    <w:nsid w:val="FFFFFF7F"/>
    <w:multiLevelType w:val="singleLevel"/>
    <w:tmpl w:val="38441652"/>
    <w:lvl w:ilvl="0">
      <w:start w:val="1"/>
      <w:numFmt w:val="decimal"/>
      <w:pStyle w:val="Legacy2_ListNumber2"/>
      <w:lvlText w:val="%1."/>
      <w:lvlJc w:val="left"/>
      <w:pPr>
        <w:tabs>
          <w:tab w:val="num" w:pos="720"/>
        </w:tabs>
        <w:ind w:left="720" w:hanging="360"/>
      </w:pPr>
    </w:lvl>
  </w:abstractNum>
  <w:abstractNum w:abstractNumId="13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31">
    <w:nsid w:val="FFFFFF82"/>
    <w:multiLevelType w:val="singleLevel"/>
    <w:tmpl w:val="F3EAFDEC"/>
    <w:lvl w:ilvl="0">
      <w:start w:val="1"/>
      <w:numFmt w:val="bullet"/>
      <w:pStyle w:val="Legacy2_ListBullet3"/>
      <w:lvlText w:val=""/>
      <w:lvlJc w:val="left"/>
      <w:pPr>
        <w:tabs>
          <w:tab w:val="num" w:pos="1080"/>
        </w:tabs>
        <w:ind w:left="1080" w:hanging="360"/>
      </w:pPr>
      <w:rPr>
        <w:rFonts w:ascii="Symbol" w:hAnsi="Symbol" w:hint="default"/>
      </w:rPr>
    </w:lvl>
  </w:abstractNum>
  <w:abstractNum w:abstractNumId="132">
    <w:nsid w:val="FFFFFF83"/>
    <w:multiLevelType w:val="singleLevel"/>
    <w:tmpl w:val="3D1EFFD4"/>
    <w:lvl w:ilvl="0">
      <w:start w:val="1"/>
      <w:numFmt w:val="bullet"/>
      <w:pStyle w:val="Legacy2_ListBullet2"/>
      <w:lvlText w:val=""/>
      <w:lvlJc w:val="left"/>
      <w:pPr>
        <w:tabs>
          <w:tab w:val="num" w:pos="720"/>
        </w:tabs>
        <w:ind w:left="720" w:hanging="360"/>
      </w:pPr>
      <w:rPr>
        <w:rFonts w:ascii="Symbol" w:hAnsi="Symbol" w:hint="default"/>
      </w:rPr>
    </w:lvl>
  </w:abstractNum>
  <w:abstractNum w:abstractNumId="133">
    <w:nsid w:val="FFFFFF88"/>
    <w:multiLevelType w:val="singleLevel"/>
    <w:tmpl w:val="D0A62B40"/>
    <w:lvl w:ilvl="0">
      <w:start w:val="1"/>
      <w:numFmt w:val="decimal"/>
      <w:pStyle w:val="Legacy2_ListNumber"/>
      <w:lvlText w:val="%1."/>
      <w:lvlJc w:val="left"/>
      <w:pPr>
        <w:tabs>
          <w:tab w:val="num" w:pos="360"/>
        </w:tabs>
        <w:ind w:left="360" w:hanging="360"/>
      </w:pPr>
    </w:lvl>
  </w:abstractNum>
  <w:abstractNum w:abstractNumId="134">
    <w:nsid w:val="FFFFFF89"/>
    <w:multiLevelType w:val="singleLevel"/>
    <w:tmpl w:val="29761A62"/>
    <w:lvl w:ilvl="0">
      <w:start w:val="1"/>
      <w:numFmt w:val="bullet"/>
      <w:pStyle w:val="Legacy2_ListBullet"/>
      <w:lvlText w:val=""/>
      <w:lvlJc w:val="left"/>
      <w:pPr>
        <w:tabs>
          <w:tab w:val="num" w:pos="360"/>
        </w:tabs>
        <w:ind w:left="360" w:hanging="360"/>
      </w:pPr>
      <w:rPr>
        <w:rFonts w:ascii="Symbol" w:hAnsi="Symbol" w:hint="default"/>
      </w:rPr>
    </w:lvl>
  </w:abstractNum>
  <w:num w:numId="127">
    <w:abstractNumId w:val="134"/>
  </w:num>
  <w:num w:numId="128">
    <w:abstractNumId w:val="132"/>
  </w:num>
  <w:num w:numId="129">
    <w:abstractNumId w:val="131"/>
  </w:num>
  <w:num w:numId="130">
    <w:abstractNumId w:val="130"/>
  </w:num>
  <w:num w:numId="131">
    <w:abstractNumId w:val="133"/>
  </w:num>
  <w:num w:numId="132">
    <w:abstractNumId w:val="129"/>
  </w:num>
  <w:num w:numId="133">
    <w:abstractNumId w:val="128"/>
  </w:num>
  <w:num w:numId="134">
    <w:abstractNumId w:val="127"/>
  </w:num>
  <w:num w:numId="135">
    <w:abstractNumId w:val="126"/>
  </w:num>
  <w:abstractNum w:abstractNumId="135">
    <w:nsid w:val="FFFFFF7C"/>
    <w:multiLevelType w:val="singleLevel"/>
    <w:tmpl w:val="C310EC42"/>
    <w:lvl w:ilvl="0">
      <w:start w:val="1"/>
      <w:numFmt w:val="decimal"/>
      <w:lvlText w:val="%1."/>
      <w:lvlJc w:val="left"/>
      <w:pPr>
        <w:tabs>
          <w:tab w:val="num" w:pos="1800"/>
        </w:tabs>
        <w:ind w:left="1800" w:hanging="360"/>
      </w:pPr>
    </w:lvl>
  </w:abstractNum>
  <w:abstractNum w:abstractNumId="136">
    <w:nsid w:val="FFFFFF7D"/>
    <w:multiLevelType w:val="singleLevel"/>
    <w:tmpl w:val="E4089024"/>
    <w:lvl w:ilvl="0">
      <w:start w:val="1"/>
      <w:numFmt w:val="decimal"/>
      <w:lvlText w:val="%1."/>
      <w:lvlJc w:val="left"/>
      <w:pPr>
        <w:tabs>
          <w:tab w:val="num" w:pos="1440"/>
        </w:tabs>
        <w:ind w:left="1440" w:hanging="360"/>
      </w:pPr>
    </w:lvl>
  </w:abstractNum>
  <w:abstractNum w:abstractNumId="137">
    <w:nsid w:val="FFFFFF7E"/>
    <w:multiLevelType w:val="singleLevel"/>
    <w:tmpl w:val="FB12693A"/>
    <w:lvl w:ilvl="0">
      <w:start w:val="1"/>
      <w:numFmt w:val="decimal"/>
      <w:pStyle w:val="LegacyHead2_ListNumber3"/>
      <w:lvlText w:val="%1."/>
      <w:lvlJc w:val="left"/>
      <w:pPr>
        <w:tabs>
          <w:tab w:val="num" w:pos="1080"/>
        </w:tabs>
        <w:ind w:left="1080" w:hanging="360"/>
      </w:pPr>
    </w:lvl>
  </w:abstractNum>
  <w:abstractNum w:abstractNumId="138">
    <w:nsid w:val="FFFFFF7F"/>
    <w:multiLevelType w:val="singleLevel"/>
    <w:tmpl w:val="38441652"/>
    <w:lvl w:ilvl="0">
      <w:start w:val="1"/>
      <w:numFmt w:val="decimal"/>
      <w:pStyle w:val="LegacyHead2_ListNumber2"/>
      <w:lvlText w:val="%1."/>
      <w:lvlJc w:val="left"/>
      <w:pPr>
        <w:tabs>
          <w:tab w:val="num" w:pos="720"/>
        </w:tabs>
        <w:ind w:left="720" w:hanging="360"/>
      </w:pPr>
    </w:lvl>
  </w:abstractNum>
  <w:abstractNum w:abstractNumId="139">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40">
    <w:nsid w:val="FFFFFF82"/>
    <w:multiLevelType w:val="singleLevel"/>
    <w:tmpl w:val="F3EAFDEC"/>
    <w:lvl w:ilvl="0">
      <w:start w:val="1"/>
      <w:numFmt w:val="bullet"/>
      <w:pStyle w:val="LegacyHead2_ListBullet3"/>
      <w:lvlText w:val=""/>
      <w:lvlJc w:val="left"/>
      <w:pPr>
        <w:tabs>
          <w:tab w:val="num" w:pos="1080"/>
        </w:tabs>
        <w:ind w:left="1080" w:hanging="360"/>
      </w:pPr>
      <w:rPr>
        <w:rFonts w:ascii="Symbol" w:hAnsi="Symbol" w:hint="default"/>
      </w:rPr>
    </w:lvl>
  </w:abstractNum>
  <w:abstractNum w:abstractNumId="141">
    <w:nsid w:val="FFFFFF83"/>
    <w:multiLevelType w:val="singleLevel"/>
    <w:tmpl w:val="3D1EFFD4"/>
    <w:lvl w:ilvl="0">
      <w:start w:val="1"/>
      <w:numFmt w:val="bullet"/>
      <w:pStyle w:val="LegacyHead2_ListBullet2"/>
      <w:lvlText w:val=""/>
      <w:lvlJc w:val="left"/>
      <w:pPr>
        <w:tabs>
          <w:tab w:val="num" w:pos="720"/>
        </w:tabs>
        <w:ind w:left="720" w:hanging="360"/>
      </w:pPr>
      <w:rPr>
        <w:rFonts w:ascii="Symbol" w:hAnsi="Symbol" w:hint="default"/>
      </w:rPr>
    </w:lvl>
  </w:abstractNum>
  <w:abstractNum w:abstractNumId="142">
    <w:nsid w:val="FFFFFF88"/>
    <w:multiLevelType w:val="singleLevel"/>
    <w:tmpl w:val="D0A62B40"/>
    <w:lvl w:ilvl="0">
      <w:start w:val="1"/>
      <w:numFmt w:val="decimal"/>
      <w:pStyle w:val="LegacyHead2_ListNumber"/>
      <w:lvlText w:val="%1."/>
      <w:lvlJc w:val="left"/>
      <w:pPr>
        <w:tabs>
          <w:tab w:val="num" w:pos="360"/>
        </w:tabs>
        <w:ind w:left="360" w:hanging="360"/>
      </w:pPr>
    </w:lvl>
  </w:abstractNum>
  <w:abstractNum w:abstractNumId="143">
    <w:nsid w:val="FFFFFF89"/>
    <w:multiLevelType w:val="singleLevel"/>
    <w:tmpl w:val="29761A62"/>
    <w:lvl w:ilvl="0">
      <w:start w:val="1"/>
      <w:numFmt w:val="bullet"/>
      <w:pStyle w:val="LegacyHead2_ListBullet"/>
      <w:lvlText w:val=""/>
      <w:lvlJc w:val="left"/>
      <w:pPr>
        <w:tabs>
          <w:tab w:val="num" w:pos="360"/>
        </w:tabs>
        <w:ind w:left="360" w:hanging="360"/>
      </w:pPr>
      <w:rPr>
        <w:rFonts w:ascii="Symbol" w:hAnsi="Symbol" w:hint="default"/>
      </w:rPr>
    </w:lvl>
  </w:abstractNum>
  <w:num w:numId="136">
    <w:abstractNumId w:val="143"/>
  </w:num>
  <w:num w:numId="137">
    <w:abstractNumId w:val="141"/>
  </w:num>
  <w:num w:numId="138">
    <w:abstractNumId w:val="140"/>
  </w:num>
  <w:num w:numId="139">
    <w:abstractNumId w:val="139"/>
  </w:num>
  <w:num w:numId="140">
    <w:abstractNumId w:val="142"/>
  </w:num>
  <w:num w:numId="141">
    <w:abstractNumId w:val="138"/>
  </w:num>
  <w:num w:numId="142">
    <w:abstractNumId w:val="137"/>
  </w:num>
  <w:num w:numId="143">
    <w:abstractNumId w:val="136"/>
  </w:num>
  <w:num w:numId="144">
    <w:abstractNumId w:val="135"/>
  </w:num>
  <w:abstractNum w:abstractNumId="144">
    <w:nsid w:val="FFFFFF7C"/>
    <w:multiLevelType w:val="singleLevel"/>
    <w:tmpl w:val="C310EC42"/>
    <w:lvl w:ilvl="0">
      <w:start w:val="1"/>
      <w:numFmt w:val="decimal"/>
      <w:lvlText w:val="%1."/>
      <w:lvlJc w:val="left"/>
      <w:pPr>
        <w:tabs>
          <w:tab w:val="num" w:pos="1800"/>
        </w:tabs>
        <w:ind w:left="1800" w:hanging="360"/>
      </w:pPr>
    </w:lvl>
  </w:abstractNum>
  <w:abstractNum w:abstractNumId="145">
    <w:nsid w:val="FFFFFF7D"/>
    <w:multiLevelType w:val="singleLevel"/>
    <w:tmpl w:val="E4089024"/>
    <w:lvl w:ilvl="0">
      <w:start w:val="1"/>
      <w:numFmt w:val="decimal"/>
      <w:lvlText w:val="%1."/>
      <w:lvlJc w:val="left"/>
      <w:pPr>
        <w:tabs>
          <w:tab w:val="num" w:pos="1440"/>
        </w:tabs>
        <w:ind w:left="1440" w:hanging="360"/>
      </w:pPr>
    </w:lvl>
  </w:abstractNum>
  <w:abstractNum w:abstractNumId="146">
    <w:nsid w:val="FFFFFF7E"/>
    <w:multiLevelType w:val="singleLevel"/>
    <w:tmpl w:val="FB12693A"/>
    <w:lvl w:ilvl="0">
      <w:start w:val="1"/>
      <w:numFmt w:val="decimal"/>
      <w:pStyle w:val="UXHead_ListNumber3"/>
      <w:lvlText w:val="%1."/>
      <w:lvlJc w:val="left"/>
      <w:pPr>
        <w:tabs>
          <w:tab w:val="num" w:pos="1080"/>
        </w:tabs>
        <w:ind w:left="1080" w:hanging="360"/>
      </w:pPr>
    </w:lvl>
  </w:abstractNum>
  <w:abstractNum w:abstractNumId="147">
    <w:nsid w:val="FFFFFF7F"/>
    <w:multiLevelType w:val="singleLevel"/>
    <w:tmpl w:val="38441652"/>
    <w:lvl w:ilvl="0">
      <w:start w:val="1"/>
      <w:numFmt w:val="decimal"/>
      <w:pStyle w:val="UXHead_ListNumber2"/>
      <w:lvlText w:val="%1."/>
      <w:lvlJc w:val="left"/>
      <w:pPr>
        <w:tabs>
          <w:tab w:val="num" w:pos="720"/>
        </w:tabs>
        <w:ind w:left="720" w:hanging="360"/>
      </w:pPr>
    </w:lvl>
  </w:abstractNum>
  <w:abstractNum w:abstractNumId="148">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49">
    <w:nsid w:val="FFFFFF82"/>
    <w:multiLevelType w:val="singleLevel"/>
    <w:tmpl w:val="F3EAFDEC"/>
    <w:lvl w:ilvl="0">
      <w:start w:val="1"/>
      <w:numFmt w:val="bullet"/>
      <w:pStyle w:val="UXHead_ListBullet3"/>
      <w:lvlText w:val=""/>
      <w:lvlJc w:val="left"/>
      <w:pPr>
        <w:tabs>
          <w:tab w:val="num" w:pos="1080"/>
        </w:tabs>
        <w:ind w:left="1080" w:hanging="360"/>
      </w:pPr>
      <w:rPr>
        <w:rFonts w:ascii="Symbol" w:hAnsi="Symbol" w:hint="default"/>
      </w:rPr>
    </w:lvl>
  </w:abstractNum>
  <w:abstractNum w:abstractNumId="150">
    <w:nsid w:val="FFFFFF83"/>
    <w:multiLevelType w:val="singleLevel"/>
    <w:tmpl w:val="3D1EFFD4"/>
    <w:lvl w:ilvl="0">
      <w:start w:val="1"/>
      <w:numFmt w:val="bullet"/>
      <w:pStyle w:val="UXHead_ListBullet2"/>
      <w:lvlText w:val=""/>
      <w:lvlJc w:val="left"/>
      <w:pPr>
        <w:tabs>
          <w:tab w:val="num" w:pos="720"/>
        </w:tabs>
        <w:ind w:left="720" w:hanging="360"/>
      </w:pPr>
      <w:rPr>
        <w:rFonts w:ascii="Symbol" w:hAnsi="Symbol" w:hint="default"/>
      </w:rPr>
    </w:lvl>
  </w:abstractNum>
  <w:abstractNum w:abstractNumId="151">
    <w:nsid w:val="FFFFFF88"/>
    <w:multiLevelType w:val="singleLevel"/>
    <w:tmpl w:val="D0A62B40"/>
    <w:lvl w:ilvl="0">
      <w:start w:val="1"/>
      <w:numFmt w:val="decimal"/>
      <w:pStyle w:val="UXHead_ListNumber"/>
      <w:lvlText w:val="%1."/>
      <w:lvlJc w:val="left"/>
      <w:pPr>
        <w:tabs>
          <w:tab w:val="num" w:pos="360"/>
        </w:tabs>
        <w:ind w:left="360" w:hanging="360"/>
      </w:pPr>
    </w:lvl>
  </w:abstractNum>
  <w:abstractNum w:abstractNumId="152">
    <w:nsid w:val="FFFFFF89"/>
    <w:multiLevelType w:val="singleLevel"/>
    <w:tmpl w:val="29761A62"/>
    <w:lvl w:ilvl="0">
      <w:start w:val="1"/>
      <w:numFmt w:val="bullet"/>
      <w:pStyle w:val="UXHead_ListBullet"/>
      <w:lvlText w:val=""/>
      <w:lvlJc w:val="left"/>
      <w:pPr>
        <w:tabs>
          <w:tab w:val="num" w:pos="360"/>
        </w:tabs>
        <w:ind w:left="360" w:hanging="360"/>
      </w:pPr>
      <w:rPr>
        <w:rFonts w:ascii="Symbol" w:hAnsi="Symbol" w:hint="default"/>
      </w:rPr>
    </w:lvl>
  </w:abstractNum>
  <w:num w:numId="145">
    <w:abstractNumId w:val="152"/>
  </w:num>
  <w:num w:numId="146">
    <w:abstractNumId w:val="150"/>
  </w:num>
  <w:num w:numId="147">
    <w:abstractNumId w:val="149"/>
  </w:num>
  <w:num w:numId="148">
    <w:abstractNumId w:val="148"/>
  </w:num>
  <w:num w:numId="149">
    <w:abstractNumId w:val="151"/>
  </w:num>
  <w:num w:numId="150">
    <w:abstractNumId w:val="147"/>
  </w:num>
  <w:num w:numId="151">
    <w:abstractNumId w:val="146"/>
  </w:num>
  <w:num w:numId="152">
    <w:abstractNumId w:val="145"/>
  </w:num>
  <w:num w:numId="153">
    <w:abstractNumId w:val="144"/>
  </w:num>
  <w:abstractNum w:abstractNumId="153">
    <w:nsid w:val="FFFFFF7C"/>
    <w:multiLevelType w:val="singleLevel"/>
    <w:tmpl w:val="C310EC42"/>
    <w:lvl w:ilvl="0">
      <w:start w:val="1"/>
      <w:numFmt w:val="decimal"/>
      <w:lvlText w:val="%1."/>
      <w:lvlJc w:val="left"/>
      <w:pPr>
        <w:tabs>
          <w:tab w:val="num" w:pos="1800"/>
        </w:tabs>
        <w:ind w:left="1800" w:hanging="360"/>
      </w:pPr>
    </w:lvl>
  </w:abstractNum>
  <w:abstractNum w:abstractNumId="154">
    <w:nsid w:val="FFFFFF7D"/>
    <w:multiLevelType w:val="singleLevel"/>
    <w:tmpl w:val="E4089024"/>
    <w:lvl w:ilvl="0">
      <w:start w:val="1"/>
      <w:numFmt w:val="decimal"/>
      <w:lvlText w:val="%1."/>
      <w:lvlJc w:val="left"/>
      <w:pPr>
        <w:tabs>
          <w:tab w:val="num" w:pos="1440"/>
        </w:tabs>
        <w:ind w:left="1440" w:hanging="360"/>
      </w:pPr>
    </w:lvl>
  </w:abstractNum>
  <w:abstractNum w:abstractNumId="155">
    <w:nsid w:val="FFFFFF7E"/>
    <w:multiLevelType w:val="singleLevel"/>
    <w:tmpl w:val="FB12693A"/>
    <w:lvl w:ilvl="0">
      <w:start w:val="1"/>
      <w:numFmt w:val="decimal"/>
      <w:pStyle w:val="UX_ListNumber3"/>
      <w:lvlText w:val="%1."/>
      <w:lvlJc w:val="left"/>
      <w:pPr>
        <w:tabs>
          <w:tab w:val="num" w:pos="1080"/>
        </w:tabs>
        <w:ind w:left="1080" w:hanging="360"/>
      </w:pPr>
    </w:lvl>
  </w:abstractNum>
  <w:abstractNum w:abstractNumId="156">
    <w:nsid w:val="FFFFFF7F"/>
    <w:multiLevelType w:val="singleLevel"/>
    <w:tmpl w:val="38441652"/>
    <w:lvl w:ilvl="0">
      <w:start w:val="1"/>
      <w:numFmt w:val="decimal"/>
      <w:pStyle w:val="UX_ListNumber2"/>
      <w:lvlText w:val="%1."/>
      <w:lvlJc w:val="left"/>
      <w:pPr>
        <w:tabs>
          <w:tab w:val="num" w:pos="720"/>
        </w:tabs>
        <w:ind w:left="720" w:hanging="360"/>
      </w:pPr>
    </w:lvl>
  </w:abstractNum>
  <w:abstractNum w:abstractNumId="157">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58">
    <w:nsid w:val="FFFFFF82"/>
    <w:multiLevelType w:val="singleLevel"/>
    <w:tmpl w:val="F3EAFDEC"/>
    <w:lvl w:ilvl="0">
      <w:start w:val="1"/>
      <w:numFmt w:val="bullet"/>
      <w:pStyle w:val="UX_ListBullet3"/>
      <w:lvlText w:val=""/>
      <w:lvlJc w:val="left"/>
      <w:pPr>
        <w:tabs>
          <w:tab w:val="num" w:pos="1080"/>
        </w:tabs>
        <w:ind w:left="1080" w:hanging="360"/>
      </w:pPr>
      <w:rPr>
        <w:rFonts w:ascii="Symbol" w:hAnsi="Symbol" w:hint="default"/>
      </w:rPr>
    </w:lvl>
  </w:abstractNum>
  <w:abstractNum w:abstractNumId="159">
    <w:nsid w:val="FFFFFF83"/>
    <w:multiLevelType w:val="singleLevel"/>
    <w:tmpl w:val="3D1EFFD4"/>
    <w:lvl w:ilvl="0">
      <w:start w:val="1"/>
      <w:numFmt w:val="bullet"/>
      <w:pStyle w:val="UX_ListBullet2"/>
      <w:lvlText w:val=""/>
      <w:lvlJc w:val="left"/>
      <w:pPr>
        <w:tabs>
          <w:tab w:val="num" w:pos="720"/>
        </w:tabs>
        <w:ind w:left="720" w:hanging="360"/>
      </w:pPr>
      <w:rPr>
        <w:rFonts w:ascii="Symbol" w:hAnsi="Symbol" w:hint="default"/>
      </w:rPr>
    </w:lvl>
  </w:abstractNum>
  <w:abstractNum w:abstractNumId="160">
    <w:nsid w:val="FFFFFF88"/>
    <w:multiLevelType w:val="singleLevel"/>
    <w:tmpl w:val="D0A62B40"/>
    <w:lvl w:ilvl="0">
      <w:start w:val="1"/>
      <w:numFmt w:val="decimal"/>
      <w:pStyle w:val="UX_ListNumber"/>
      <w:lvlText w:val="%1."/>
      <w:lvlJc w:val="left"/>
      <w:pPr>
        <w:tabs>
          <w:tab w:val="num" w:pos="360"/>
        </w:tabs>
        <w:ind w:left="360" w:hanging="360"/>
      </w:pPr>
    </w:lvl>
  </w:abstractNum>
  <w:abstractNum w:abstractNumId="161">
    <w:nsid w:val="FFFFFF89"/>
    <w:multiLevelType w:val="singleLevel"/>
    <w:tmpl w:val="29761A62"/>
    <w:lvl w:ilvl="0">
      <w:start w:val="1"/>
      <w:numFmt w:val="bullet"/>
      <w:pStyle w:val="UX_ListBullet"/>
      <w:lvlText w:val=""/>
      <w:lvlJc w:val="left"/>
      <w:pPr>
        <w:tabs>
          <w:tab w:val="num" w:pos="360"/>
        </w:tabs>
        <w:ind w:left="360" w:hanging="360"/>
      </w:pPr>
      <w:rPr>
        <w:rFonts w:ascii="Symbol" w:hAnsi="Symbol" w:hint="default"/>
      </w:rPr>
    </w:lvl>
  </w:abstractNum>
  <w:num w:numId="154">
    <w:abstractNumId w:val="161"/>
  </w:num>
  <w:num w:numId="155">
    <w:abstractNumId w:val="159"/>
  </w:num>
  <w:num w:numId="156">
    <w:abstractNumId w:val="158"/>
  </w:num>
  <w:num w:numId="157">
    <w:abstractNumId w:val="157"/>
  </w:num>
  <w:num w:numId="158">
    <w:abstractNumId w:val="160"/>
  </w:num>
  <w:num w:numId="159">
    <w:abstractNumId w:val="156"/>
  </w:num>
  <w:num w:numId="160">
    <w:abstractNumId w:val="155"/>
  </w:num>
  <w:num w:numId="161">
    <w:abstractNumId w:val="154"/>
  </w:num>
  <w:num w:numId="162">
    <w:abstractNumId w:val="153"/>
  </w:num>
  <w:abstractNum w:abstractNumId="162">
    <w:nsid w:val="FFFFFF7C"/>
    <w:multiLevelType w:val="singleLevel"/>
    <w:tmpl w:val="C310EC42"/>
    <w:lvl w:ilvl="0">
      <w:start w:val="1"/>
      <w:numFmt w:val="decimal"/>
      <w:lvlText w:val="%1."/>
      <w:lvlJc w:val="left"/>
      <w:pPr>
        <w:tabs>
          <w:tab w:val="num" w:pos="1800"/>
        </w:tabs>
        <w:ind w:left="1800" w:hanging="360"/>
      </w:pPr>
    </w:lvl>
  </w:abstractNum>
  <w:abstractNum w:abstractNumId="163">
    <w:nsid w:val="FFFFFF7D"/>
    <w:multiLevelType w:val="singleLevel"/>
    <w:tmpl w:val="E4089024"/>
    <w:lvl w:ilvl="0">
      <w:start w:val="1"/>
      <w:numFmt w:val="decimal"/>
      <w:lvlText w:val="%1."/>
      <w:lvlJc w:val="left"/>
      <w:pPr>
        <w:tabs>
          <w:tab w:val="num" w:pos="1440"/>
        </w:tabs>
        <w:ind w:left="1440" w:hanging="360"/>
      </w:pPr>
    </w:lvl>
  </w:abstractNum>
  <w:abstractNum w:abstractNumId="164">
    <w:nsid w:val="FFFFFF7E"/>
    <w:multiLevelType w:val="singleLevel"/>
    <w:tmpl w:val="FB12693A"/>
    <w:lvl w:ilvl="0">
      <w:start w:val="1"/>
      <w:numFmt w:val="decimal"/>
      <w:pStyle w:val="Ops_ListNumber3"/>
      <w:lvlText w:val="%1."/>
      <w:lvlJc w:val="left"/>
      <w:pPr>
        <w:tabs>
          <w:tab w:val="num" w:pos="1080"/>
        </w:tabs>
        <w:ind w:left="1080" w:hanging="360"/>
      </w:pPr>
    </w:lvl>
  </w:abstractNum>
  <w:abstractNum w:abstractNumId="165">
    <w:nsid w:val="FFFFFF7F"/>
    <w:multiLevelType w:val="singleLevel"/>
    <w:tmpl w:val="38441652"/>
    <w:lvl w:ilvl="0">
      <w:start w:val="1"/>
      <w:numFmt w:val="decimal"/>
      <w:pStyle w:val="Ops_ListNumber2"/>
      <w:lvlText w:val="%1."/>
      <w:lvlJc w:val="left"/>
      <w:pPr>
        <w:tabs>
          <w:tab w:val="num" w:pos="720"/>
        </w:tabs>
        <w:ind w:left="720" w:hanging="360"/>
      </w:pPr>
    </w:lvl>
  </w:abstractNum>
  <w:abstractNum w:abstractNumId="166">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67">
    <w:nsid w:val="FFFFFF82"/>
    <w:multiLevelType w:val="singleLevel"/>
    <w:tmpl w:val="F3EAFDEC"/>
    <w:lvl w:ilvl="0">
      <w:start w:val="1"/>
      <w:numFmt w:val="bullet"/>
      <w:pStyle w:val="Ops_ListBullet3"/>
      <w:lvlText w:val=""/>
      <w:lvlJc w:val="left"/>
      <w:pPr>
        <w:tabs>
          <w:tab w:val="num" w:pos="1080"/>
        </w:tabs>
        <w:ind w:left="1080" w:hanging="360"/>
      </w:pPr>
      <w:rPr>
        <w:rFonts w:ascii="Symbol" w:hAnsi="Symbol" w:hint="default"/>
      </w:rPr>
    </w:lvl>
  </w:abstractNum>
  <w:abstractNum w:abstractNumId="168">
    <w:nsid w:val="FFFFFF83"/>
    <w:multiLevelType w:val="singleLevel"/>
    <w:tmpl w:val="3D1EFFD4"/>
    <w:lvl w:ilvl="0">
      <w:start w:val="1"/>
      <w:numFmt w:val="bullet"/>
      <w:pStyle w:val="Ops_ListBullet2"/>
      <w:lvlText w:val=""/>
      <w:lvlJc w:val="left"/>
      <w:pPr>
        <w:tabs>
          <w:tab w:val="num" w:pos="720"/>
        </w:tabs>
        <w:ind w:left="720" w:hanging="360"/>
      </w:pPr>
      <w:rPr>
        <w:rFonts w:ascii="Symbol" w:hAnsi="Symbol" w:hint="default"/>
      </w:rPr>
    </w:lvl>
  </w:abstractNum>
  <w:abstractNum w:abstractNumId="169">
    <w:nsid w:val="FFFFFF88"/>
    <w:multiLevelType w:val="singleLevel"/>
    <w:tmpl w:val="D0A62B40"/>
    <w:lvl w:ilvl="0">
      <w:start w:val="1"/>
      <w:numFmt w:val="decimal"/>
      <w:pStyle w:val="Ops_ListNumber"/>
      <w:lvlText w:val="%1."/>
      <w:lvlJc w:val="left"/>
      <w:pPr>
        <w:tabs>
          <w:tab w:val="num" w:pos="360"/>
        </w:tabs>
        <w:ind w:left="360" w:hanging="360"/>
      </w:pPr>
    </w:lvl>
  </w:abstractNum>
  <w:abstractNum w:abstractNumId="170">
    <w:nsid w:val="FFFFFF89"/>
    <w:multiLevelType w:val="singleLevel"/>
    <w:tmpl w:val="29761A62"/>
    <w:lvl w:ilvl="0">
      <w:start w:val="1"/>
      <w:numFmt w:val="bullet"/>
      <w:pStyle w:val="Ops_ListBullet"/>
      <w:lvlText w:val=""/>
      <w:lvlJc w:val="left"/>
      <w:pPr>
        <w:tabs>
          <w:tab w:val="num" w:pos="360"/>
        </w:tabs>
        <w:ind w:left="360" w:hanging="360"/>
      </w:pPr>
      <w:rPr>
        <w:rFonts w:ascii="Symbol" w:hAnsi="Symbol" w:hint="default"/>
      </w:rPr>
    </w:lvl>
  </w:abstractNum>
  <w:num w:numId="163">
    <w:abstractNumId w:val="170"/>
  </w:num>
  <w:num w:numId="164">
    <w:abstractNumId w:val="168"/>
  </w:num>
  <w:num w:numId="165">
    <w:abstractNumId w:val="167"/>
  </w:num>
  <w:num w:numId="166">
    <w:abstractNumId w:val="166"/>
  </w:num>
  <w:num w:numId="167">
    <w:abstractNumId w:val="169"/>
  </w:num>
  <w:num w:numId="168">
    <w:abstractNumId w:val="165"/>
  </w:num>
  <w:num w:numId="169">
    <w:abstractNumId w:val="164"/>
  </w:num>
  <w:num w:numId="170">
    <w:abstractNumId w:val="163"/>
  </w:num>
  <w:num w:numId="171">
    <w:abstractNumId w:val="162"/>
  </w:num>
  <w:abstractNum w:abstractNumId="171">
    <w:nsid w:val="FFFFFF7C"/>
    <w:multiLevelType w:val="singleLevel"/>
    <w:tmpl w:val="C310EC42"/>
    <w:lvl w:ilvl="0">
      <w:start w:val="1"/>
      <w:numFmt w:val="decimal"/>
      <w:lvlText w:val="%1."/>
      <w:lvlJc w:val="left"/>
      <w:pPr>
        <w:tabs>
          <w:tab w:val="num" w:pos="1800"/>
        </w:tabs>
        <w:ind w:left="1800" w:hanging="360"/>
      </w:pPr>
    </w:lvl>
  </w:abstractNum>
  <w:abstractNum w:abstractNumId="172">
    <w:nsid w:val="FFFFFF7D"/>
    <w:multiLevelType w:val="singleLevel"/>
    <w:tmpl w:val="E4089024"/>
    <w:lvl w:ilvl="0">
      <w:start w:val="1"/>
      <w:numFmt w:val="decimal"/>
      <w:lvlText w:val="%1."/>
      <w:lvlJc w:val="left"/>
      <w:pPr>
        <w:tabs>
          <w:tab w:val="num" w:pos="1440"/>
        </w:tabs>
        <w:ind w:left="1440" w:hanging="360"/>
      </w:pPr>
    </w:lvl>
  </w:abstractNum>
  <w:abstractNum w:abstractNumId="173">
    <w:nsid w:val="FFFFFF7E"/>
    <w:multiLevelType w:val="singleLevel"/>
    <w:tmpl w:val="FB12693A"/>
    <w:lvl w:ilvl="0">
      <w:start w:val="1"/>
      <w:numFmt w:val="decimal"/>
      <w:pStyle w:val="Front_ListNumber3"/>
      <w:lvlText w:val="%1."/>
      <w:lvlJc w:val="left"/>
      <w:pPr>
        <w:tabs>
          <w:tab w:val="num" w:pos="1080"/>
        </w:tabs>
        <w:ind w:left="1080" w:hanging="360"/>
      </w:pPr>
    </w:lvl>
  </w:abstractNum>
  <w:abstractNum w:abstractNumId="174">
    <w:nsid w:val="FFFFFF7F"/>
    <w:multiLevelType w:val="singleLevel"/>
    <w:tmpl w:val="38441652"/>
    <w:lvl w:ilvl="0">
      <w:start w:val="1"/>
      <w:numFmt w:val="decimal"/>
      <w:pStyle w:val="Front_ListNumber2"/>
      <w:lvlText w:val="%1."/>
      <w:lvlJc w:val="left"/>
      <w:pPr>
        <w:tabs>
          <w:tab w:val="num" w:pos="720"/>
        </w:tabs>
        <w:ind w:left="720" w:hanging="360"/>
      </w:pPr>
    </w:lvl>
  </w:abstractNum>
  <w:abstractNum w:abstractNumId="175">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176">
    <w:nsid w:val="FFFFFF82"/>
    <w:multiLevelType w:val="singleLevel"/>
    <w:tmpl w:val="F3EAFDEC"/>
    <w:lvl w:ilvl="0">
      <w:start w:val="1"/>
      <w:numFmt w:val="bullet"/>
      <w:pStyle w:val="Front_ListBullet3"/>
      <w:lvlText w:val=""/>
      <w:lvlJc w:val="left"/>
      <w:pPr>
        <w:tabs>
          <w:tab w:val="num" w:pos="1080"/>
        </w:tabs>
        <w:ind w:left="1080" w:hanging="360"/>
      </w:pPr>
      <w:rPr>
        <w:rFonts w:ascii="Symbol" w:hAnsi="Symbol" w:hint="default"/>
      </w:rPr>
    </w:lvl>
  </w:abstractNum>
  <w:abstractNum w:abstractNumId="177">
    <w:nsid w:val="FFFFFF83"/>
    <w:multiLevelType w:val="singleLevel"/>
    <w:tmpl w:val="3D1EFFD4"/>
    <w:lvl w:ilvl="0">
      <w:start w:val="1"/>
      <w:numFmt w:val="bullet"/>
      <w:pStyle w:val="Front_ListBullet2"/>
      <w:lvlText w:val=""/>
      <w:lvlJc w:val="left"/>
      <w:pPr>
        <w:tabs>
          <w:tab w:val="num" w:pos="720"/>
        </w:tabs>
        <w:ind w:left="720" w:hanging="360"/>
      </w:pPr>
      <w:rPr>
        <w:rFonts w:ascii="Symbol" w:hAnsi="Symbol" w:hint="default"/>
      </w:rPr>
    </w:lvl>
  </w:abstractNum>
  <w:abstractNum w:abstractNumId="178">
    <w:nsid w:val="FFFFFF88"/>
    <w:multiLevelType w:val="singleLevel"/>
    <w:tmpl w:val="D0A62B40"/>
    <w:lvl w:ilvl="0">
      <w:start w:val="1"/>
      <w:numFmt w:val="decimal"/>
      <w:pStyle w:val="Front_ListNumber"/>
      <w:lvlText w:val="%1."/>
      <w:lvlJc w:val="left"/>
      <w:pPr>
        <w:tabs>
          <w:tab w:val="num" w:pos="360"/>
        </w:tabs>
        <w:ind w:left="360" w:hanging="360"/>
      </w:pPr>
    </w:lvl>
  </w:abstractNum>
  <w:abstractNum w:abstractNumId="179">
    <w:nsid w:val="FFFFFF89"/>
    <w:multiLevelType w:val="singleLevel"/>
    <w:tmpl w:val="29761A62"/>
    <w:lvl w:ilvl="0">
      <w:start w:val="1"/>
      <w:numFmt w:val="bullet"/>
      <w:pStyle w:val="Front_ListBullet"/>
      <w:lvlText w:val=""/>
      <w:lvlJc w:val="left"/>
      <w:pPr>
        <w:tabs>
          <w:tab w:val="num" w:pos="360"/>
        </w:tabs>
        <w:ind w:left="360" w:hanging="360"/>
      </w:pPr>
      <w:rPr>
        <w:rFonts w:ascii="Symbol" w:hAnsi="Symbol" w:hint="default"/>
      </w:rPr>
    </w:lvl>
  </w:abstractNum>
  <w:num w:numId="172">
    <w:abstractNumId w:val="179"/>
  </w:num>
  <w:num w:numId="173">
    <w:abstractNumId w:val="177"/>
  </w:num>
  <w:num w:numId="174">
    <w:abstractNumId w:val="176"/>
  </w:num>
  <w:num w:numId="175">
    <w:abstractNumId w:val="175"/>
  </w:num>
  <w:num w:numId="176">
    <w:abstractNumId w:val="178"/>
  </w:num>
  <w:num w:numId="177">
    <w:abstractNumId w:val="174"/>
  </w:num>
  <w:num w:numId="178">
    <w:abstractNumId w:val="173"/>
  </w:num>
  <w:num w:numId="179">
    <w:abstractNumId w:val="172"/>
  </w:num>
  <w:num w:numId="180">
    <w:abstractNumId w:val="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Tenant_Normal">
    <w:name w:val="Tenant_Normal"/>
    <w:qFormat/>
    <w:rsid w:val="00FC693F"/>
    <w:pPr>
      <w:spacing w:line="245" w:lineRule="auto" w:after="120"/>
    </w:pPr>
    <w:rPr>
      <w:rFonts w:ascii="Calibri" w:hAnsi="Calibri"/>
      <w:sz w:val="20"/>
    </w:rPr>
  </w:style>
  <w:style w:type="paragraph" w:styleId="Tenant_Header">
    <w:name w:val="Tenant_header"/>
    <w:basedOn w:val="Tenant_Normal"/>
    <w:link w:val="Tenant_HeaderChar"/>
    <w:uiPriority w:val="99"/>
    <w:unhideWhenUsed/>
    <w:rsid w:val="00E618BF"/>
    <w:pPr>
      <w:tabs>
        <w:tab w:val="center" w:pos="4680"/>
        <w:tab w:val="right" w:pos="9360"/>
      </w:tabs>
      <w:spacing w:after="0" w:line="240" w:lineRule="auto"/>
    </w:pPr>
  </w:style>
  <w:style w:type="character" w:customStyle="1" w:styleId="Tenant_HeaderChar">
    <w:name w:val="Tenant_Header Char"/>
    <w:basedOn w:val="Tenant_DefaultParagraphFont"/>
    <w:link w:val="Tenant_Header"/>
    <w:uiPriority w:val="99"/>
    <w:rsid w:val="00E618BF"/>
  </w:style>
  <w:style w:type="paragraph" w:styleId="Tenant_Footer">
    <w:name w:val="Tenant_footer"/>
    <w:basedOn w:val="Tenant_Normal"/>
    <w:link w:val="Tenant_FooterChar"/>
    <w:uiPriority w:val="99"/>
    <w:unhideWhenUsed/>
    <w:rsid w:val="00E618BF"/>
    <w:pPr>
      <w:tabs>
        <w:tab w:val="center" w:pos="4680"/>
        <w:tab w:val="right" w:pos="9360"/>
      </w:tabs>
      <w:spacing w:after="0" w:line="240" w:lineRule="auto"/>
    </w:pPr>
  </w:style>
  <w:style w:type="character" w:customStyle="1" w:styleId="Tenant_FooterChar">
    <w:name w:val="Tenant_Footer Char"/>
    <w:basedOn w:val="Tenant_DefaultParagraphFont"/>
    <w:link w:val="Tenant_Footer"/>
    <w:uiPriority w:val="99"/>
    <w:rsid w:val="00E618BF"/>
  </w:style>
  <w:style w:type="paragraph" w:styleId="Tenant_Heading1">
    <w:name w:val="Tenant_heading 1"/>
    <w:basedOn w:val="Tenant_Normal"/>
    <w:next w:val="Tenant_Normal"/>
    <w:link w:val="Tenant_Heading1Char"/>
    <w:uiPriority w:val="9"/>
    <w:qFormat/>
    <w:rsid w:val="00FC693F"/>
    <w:pPr>
      <w:keepNext/>
      <w:keepLines/>
      <w:spacing w:before="0" w:after="140"/>
      <w:outlineLvl w:val="0"/>
    </w:pPr>
    <w:rPr>
      <w:rFonts w:asciiTheme="majorHAnsi" w:eastAsiaTheme="majorEastAsia" w:hAnsiTheme="majorHAnsi" w:cstheme="majorBidi" w:ascii="Calibri" w:hAnsi="Calibri"/>
      <w:b/>
      <w:bCs/>
      <w:color w:val="102A3A"/>
      <w:sz w:val="38"/>
      <w:szCs w:val="28"/>
    </w:rPr>
  </w:style>
  <w:style w:type="paragraph" w:styleId="Tenant_Heading2">
    <w:name w:val="Tenant_heading 2"/>
    <w:basedOn w:val="Tenant_Normal"/>
    <w:next w:val="Tenant_Normal"/>
    <w:link w:val="Tenant_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02A3A"/>
      <w:sz w:val="24"/>
      <w:szCs w:val="26"/>
    </w:rPr>
  </w:style>
  <w:style w:type="paragraph" w:styleId="Tenant_Heading3">
    <w:name w:val="Tenant_heading 3"/>
    <w:basedOn w:val="Tenant_Normal"/>
    <w:next w:val="Tenant_Normal"/>
    <w:link w:val="Tenant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enant_Heading4">
    <w:name w:val="Tenant_heading 4"/>
    <w:basedOn w:val="Tenant_Normal"/>
    <w:next w:val="Tenant_Normal"/>
    <w:link w:val="Tenant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enant_Heading5">
    <w:name w:val="Tenant_heading 5"/>
    <w:basedOn w:val="Tenant_Normal"/>
    <w:next w:val="Tenant_Normal"/>
    <w:link w:val="Tenant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enant_Heading6">
    <w:name w:val="Tenant_heading 6"/>
    <w:basedOn w:val="Tenant_Normal"/>
    <w:next w:val="Tenant_Normal"/>
    <w:link w:val="Tenant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enant_Heading7">
    <w:name w:val="Tenant_heading 7"/>
    <w:basedOn w:val="Tenant_Normal"/>
    <w:next w:val="Tenant_Normal"/>
    <w:link w:val="Tenant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enant_Heading8">
    <w:name w:val="Tenant_heading 8"/>
    <w:basedOn w:val="Tenant_Normal"/>
    <w:next w:val="Tenant_Normal"/>
    <w:link w:val="Tenant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enant_Heading9">
    <w:name w:val="Tenant_heading 9"/>
    <w:basedOn w:val="Tenant_Normal"/>
    <w:next w:val="Tenant_Normal"/>
    <w:link w:val="Tenant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enant_DefaultParagraphFont">
    <w:name w:val="Tenant_Default Paragraph Font"/>
    <w:uiPriority w:val="1"/>
    <w:semiHidden/>
    <w:unhideWhenUsed/>
  </w:style>
  <w:style w:type="table" w:default="1" w:styleId="Tenant_TableNormal">
    <w:name w:val="Tenant_Normal Table"/>
    <w:uiPriority w:val="99"/>
    <w:semiHidden/>
    <w:unhideWhenUsed/>
    <w:tblPr>
      <w:tblInd w:w="0" w:type="dxa"/>
      <w:tblCellMar>
        <w:top w:w="0" w:type="dxa"/>
        <w:left w:w="108" w:type="dxa"/>
        <w:bottom w:w="0" w:type="dxa"/>
        <w:right w:w="108" w:type="dxa"/>
      </w:tblCellMar>
    </w:tblPr>
  </w:style>
  <w:style w:type="numbering" w:default="1" w:styleId="Tenant_NoList">
    <w:name w:val="Tenant_No List"/>
    <w:uiPriority w:val="99"/>
    <w:semiHidden/>
    <w:unhideWhenUsed/>
  </w:style>
  <w:style w:type="paragraph" w:styleId="Tenant_NoSpacing">
    <w:name w:val="Tenant_No Spacing"/>
    <w:uiPriority w:val="1"/>
    <w:qFormat/>
    <w:rsid w:val="00FC693F"/>
    <w:pPr>
      <w:spacing w:after="0" w:line="240" w:lineRule="auto"/>
    </w:pPr>
  </w:style>
  <w:style w:type="character" w:customStyle="1" w:styleId="Tenant_Heading1Char">
    <w:name w:val="Tenant_Heading 1 Char"/>
    <w:basedOn w:val="Tenant_DefaultParagraphFont"/>
    <w:link w:val="Tenant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enant_Heading2Char">
    <w:name w:val="Tenant_Heading 2 Char"/>
    <w:basedOn w:val="Tenant_DefaultParagraphFont"/>
    <w:link w:val="Tenant_Heading2"/>
    <w:uiPriority w:val="9"/>
    <w:rsid w:val="00FC693F"/>
    <w:rPr>
      <w:rFonts w:asciiTheme="majorHAnsi" w:eastAsiaTheme="majorEastAsia" w:hAnsiTheme="majorHAnsi" w:cstheme="majorBidi"/>
      <w:b/>
      <w:bCs/>
      <w:color w:val="4F81BD" w:themeColor="accent1"/>
      <w:sz w:val="26"/>
      <w:szCs w:val="26"/>
    </w:rPr>
  </w:style>
  <w:style w:type="character" w:customStyle="1" w:styleId="Tenant_Heading3Char">
    <w:name w:val="Tenant_Heading 3 Char"/>
    <w:basedOn w:val="Tenant_DefaultParagraphFont"/>
    <w:link w:val="Tenant_Heading3"/>
    <w:uiPriority w:val="9"/>
    <w:rsid w:val="00FC693F"/>
    <w:rPr>
      <w:rFonts w:asciiTheme="majorHAnsi" w:eastAsiaTheme="majorEastAsia" w:hAnsiTheme="majorHAnsi" w:cstheme="majorBidi"/>
      <w:b/>
      <w:bCs/>
      <w:color w:val="4F81BD" w:themeColor="accent1"/>
    </w:rPr>
  </w:style>
  <w:style w:type="paragraph" w:styleId="Tenant_Title">
    <w:name w:val="Tenant_Title"/>
    <w:basedOn w:val="Tenant_Normal"/>
    <w:next w:val="Tenant_Normal"/>
    <w:link w:val="Tenant_TitleChar"/>
    <w:uiPriority w:val="10"/>
    <w:qFormat/>
    <w:rsid w:val="00FC693F"/>
    <w:pPr>
      <w:spacing w:after="140" w:line="240" w:lineRule="auto" w:before="0"/>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Tenant_TitleChar">
    <w:name w:val="Tenant_Title Char"/>
    <w:basedOn w:val="Tenant_DefaultParagraphFont"/>
    <w:link w:val="Tenant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enant_Subtitle">
    <w:name w:val="Tenant_Subtitle"/>
    <w:basedOn w:val="Tenant_Normal"/>
    <w:next w:val="Tenant_Normal"/>
    <w:link w:val="Tenant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enant_SubtitleChar">
    <w:name w:val="Tenant_Subtitle Char"/>
    <w:basedOn w:val="Tenant_DefaultParagraphFont"/>
    <w:link w:val="Tenant_Subtitle"/>
    <w:uiPriority w:val="11"/>
    <w:rsid w:val="00FC693F"/>
    <w:rPr>
      <w:rFonts w:asciiTheme="majorHAnsi" w:eastAsiaTheme="majorEastAsia" w:hAnsiTheme="majorHAnsi" w:cstheme="majorBidi"/>
      <w:i/>
      <w:iCs/>
      <w:color w:val="4F81BD" w:themeColor="accent1"/>
      <w:spacing w:val="15"/>
      <w:sz w:val="24"/>
      <w:szCs w:val="24"/>
    </w:rPr>
  </w:style>
  <w:style w:type="paragraph" w:styleId="Tenant_ListParagraph">
    <w:name w:val="Tenant_List Paragraph"/>
    <w:basedOn w:val="Tenant_Normal"/>
    <w:uiPriority w:val="34"/>
    <w:qFormat/>
    <w:rsid w:val="00FC693F"/>
    <w:pPr>
      <w:ind w:left="720"/>
      <w:contextualSpacing/>
    </w:pPr>
  </w:style>
  <w:style w:type="paragraph" w:styleId="Tenant_BodyText">
    <w:name w:val="Tenant_Body Text"/>
    <w:basedOn w:val="Tenant_Normal"/>
    <w:link w:val="Tenant_BodyTextChar"/>
    <w:uiPriority w:val="99"/>
    <w:unhideWhenUsed/>
    <w:rsid w:val="00AA1D8D"/>
    <w:pPr>
      <w:spacing w:after="120"/>
    </w:pPr>
  </w:style>
  <w:style w:type="character" w:customStyle="1" w:styleId="Tenant_BodyTextChar">
    <w:name w:val="Tenant_Body Text Char"/>
    <w:basedOn w:val="Tenant_DefaultParagraphFont"/>
    <w:link w:val="Tenant_BodyText"/>
    <w:uiPriority w:val="99"/>
    <w:rsid w:val="00AA1D8D"/>
  </w:style>
  <w:style w:type="paragraph" w:styleId="Tenant_BodyText2">
    <w:name w:val="Tenant_Body Text 2"/>
    <w:basedOn w:val="Tenant_Normal"/>
    <w:link w:val="Tenant_BodyText2Char"/>
    <w:uiPriority w:val="99"/>
    <w:unhideWhenUsed/>
    <w:rsid w:val="00AA1D8D"/>
    <w:pPr>
      <w:spacing w:after="120" w:line="480" w:lineRule="auto"/>
    </w:pPr>
  </w:style>
  <w:style w:type="character" w:customStyle="1" w:styleId="Tenant_BodyText2Char">
    <w:name w:val="Tenant_Body Text 2 Char"/>
    <w:basedOn w:val="Tenant_DefaultParagraphFont"/>
    <w:link w:val="Tenant_BodyText2"/>
    <w:uiPriority w:val="99"/>
    <w:rsid w:val="00AA1D8D"/>
  </w:style>
  <w:style w:type="paragraph" w:styleId="Tenant_BodyText3">
    <w:name w:val="Tenant_Body Text 3"/>
    <w:basedOn w:val="Tenant_Normal"/>
    <w:link w:val="Tenant_BodyText3Char"/>
    <w:uiPriority w:val="99"/>
    <w:unhideWhenUsed/>
    <w:rsid w:val="00AA1D8D"/>
    <w:pPr>
      <w:spacing w:after="120"/>
    </w:pPr>
    <w:rPr>
      <w:sz w:val="16"/>
      <w:szCs w:val="16"/>
    </w:rPr>
  </w:style>
  <w:style w:type="character" w:customStyle="1" w:styleId="Tenant_BodyText3Char">
    <w:name w:val="Tenant_Body Text 3 Char"/>
    <w:basedOn w:val="Tenant_DefaultParagraphFont"/>
    <w:link w:val="Tenant_BodyText3"/>
    <w:uiPriority w:val="99"/>
    <w:rsid w:val="00AA1D8D"/>
    <w:rPr>
      <w:sz w:val="16"/>
      <w:szCs w:val="16"/>
    </w:rPr>
  </w:style>
  <w:style w:type="paragraph" w:styleId="Tenant_List">
    <w:name w:val="Tenant_List"/>
    <w:basedOn w:val="Tenant_Normal"/>
    <w:uiPriority w:val="99"/>
    <w:unhideWhenUsed/>
    <w:rsid w:val="00AA1D8D"/>
    <w:pPr>
      <w:ind w:left="360" w:hanging="360"/>
      <w:contextualSpacing/>
    </w:pPr>
  </w:style>
  <w:style w:type="paragraph" w:styleId="Tenant_List2">
    <w:name w:val="Tenant_List 2"/>
    <w:basedOn w:val="Tenant_Normal"/>
    <w:uiPriority w:val="99"/>
    <w:unhideWhenUsed/>
    <w:rsid w:val="00326F90"/>
    <w:pPr>
      <w:ind w:left="720" w:hanging="360"/>
      <w:contextualSpacing/>
    </w:pPr>
  </w:style>
  <w:style w:type="paragraph" w:styleId="Tenant_List3">
    <w:name w:val="Tenant_List 3"/>
    <w:basedOn w:val="Tenant_Normal"/>
    <w:uiPriority w:val="99"/>
    <w:unhideWhenUsed/>
    <w:rsid w:val="00326F90"/>
    <w:pPr>
      <w:ind w:left="1080" w:hanging="360"/>
      <w:contextualSpacing/>
    </w:pPr>
  </w:style>
  <w:style w:type="paragraph" w:styleId="Tenant_ListBullet">
    <w:name w:val="Tenant_List Bullet"/>
    <w:basedOn w:val="Tenant_Normal"/>
    <w:uiPriority w:val="99"/>
    <w:unhideWhenUsed/>
    <w:rsid w:val="00326F90"/>
    <w:pPr>
      <w:numPr>
        <w:numId w:val="1"/>
      </w:numPr>
      <w:contextualSpacing/>
    </w:pPr>
  </w:style>
  <w:style w:type="paragraph" w:styleId="Tenant_ListBullet2">
    <w:name w:val="Tenant_List Bullet 2"/>
    <w:basedOn w:val="Tenant_Normal"/>
    <w:uiPriority w:val="99"/>
    <w:unhideWhenUsed/>
    <w:rsid w:val="00326F90"/>
    <w:pPr>
      <w:numPr>
        <w:numId w:val="2"/>
      </w:numPr>
      <w:contextualSpacing/>
    </w:pPr>
  </w:style>
  <w:style w:type="paragraph" w:styleId="Tenant_ListBullet3">
    <w:name w:val="Tenant_List Bullet 3"/>
    <w:basedOn w:val="Tenant_Normal"/>
    <w:uiPriority w:val="99"/>
    <w:unhideWhenUsed/>
    <w:rsid w:val="00326F90"/>
    <w:pPr>
      <w:numPr>
        <w:numId w:val="3"/>
      </w:numPr>
      <w:contextualSpacing/>
    </w:pPr>
  </w:style>
  <w:style w:type="paragraph" w:styleId="Tenant_ListNumber">
    <w:name w:val="Tenant_List Number"/>
    <w:basedOn w:val="Tenant_Normal"/>
    <w:uiPriority w:val="99"/>
    <w:unhideWhenUsed/>
    <w:rsid w:val="00326F90"/>
    <w:pPr>
      <w:numPr>
        <w:numId w:val="5"/>
      </w:numPr>
      <w:contextualSpacing/>
    </w:pPr>
  </w:style>
  <w:style w:type="paragraph" w:styleId="Tenant_ListNumber2">
    <w:name w:val="Tenant_List Number 2"/>
    <w:basedOn w:val="Tenant_Normal"/>
    <w:uiPriority w:val="99"/>
    <w:unhideWhenUsed/>
    <w:rsid w:val="0029639D"/>
    <w:pPr>
      <w:numPr>
        <w:numId w:val="6"/>
      </w:numPr>
      <w:contextualSpacing/>
    </w:pPr>
  </w:style>
  <w:style w:type="paragraph" w:styleId="Tenant_ListNumber3">
    <w:name w:val="Tenant_List Number 3"/>
    <w:basedOn w:val="Tenant_Normal"/>
    <w:uiPriority w:val="99"/>
    <w:unhideWhenUsed/>
    <w:rsid w:val="0029639D"/>
    <w:pPr>
      <w:numPr>
        <w:numId w:val="7"/>
      </w:numPr>
      <w:contextualSpacing/>
    </w:pPr>
  </w:style>
  <w:style w:type="paragraph" w:styleId="Tenant_ListContinue">
    <w:name w:val="Tenant_List Continue"/>
    <w:basedOn w:val="Tenant_Normal"/>
    <w:uiPriority w:val="99"/>
    <w:unhideWhenUsed/>
    <w:rsid w:val="0029639D"/>
    <w:pPr>
      <w:spacing w:after="120"/>
      <w:ind w:left="360"/>
      <w:contextualSpacing/>
    </w:pPr>
  </w:style>
  <w:style w:type="paragraph" w:styleId="Tenant_ListContinue2">
    <w:name w:val="Tenant_List Continue 2"/>
    <w:basedOn w:val="Tenant_Normal"/>
    <w:uiPriority w:val="99"/>
    <w:unhideWhenUsed/>
    <w:rsid w:val="0029639D"/>
    <w:pPr>
      <w:spacing w:after="120"/>
      <w:ind w:left="720"/>
      <w:contextualSpacing/>
    </w:pPr>
  </w:style>
  <w:style w:type="paragraph" w:styleId="Tenant_ListContinue3">
    <w:name w:val="Tenant_List Continue 3"/>
    <w:basedOn w:val="Tenant_Normal"/>
    <w:uiPriority w:val="99"/>
    <w:unhideWhenUsed/>
    <w:rsid w:val="0029639D"/>
    <w:pPr>
      <w:spacing w:after="120"/>
      <w:ind w:left="1080"/>
      <w:contextualSpacing/>
    </w:pPr>
  </w:style>
  <w:style w:type="paragraph" w:styleId="Tenant_MacroText">
    <w:name w:val="Tenant_macro"/>
    <w:link w:val="Tenant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nant_MacroTextChar">
    <w:name w:val="Tenant_Macro Text Char"/>
    <w:basedOn w:val="Tenant_DefaultParagraphFont"/>
    <w:link w:val="Tenant_MacroText"/>
    <w:uiPriority w:val="99"/>
    <w:rsid w:val="0029639D"/>
    <w:rPr>
      <w:rFonts w:ascii="Courier" w:hAnsi="Courier"/>
      <w:sz w:val="20"/>
      <w:szCs w:val="20"/>
    </w:rPr>
  </w:style>
  <w:style w:type="paragraph" w:styleId="Tenant_Quote">
    <w:name w:val="Tenant_Quote"/>
    <w:basedOn w:val="Tenant_Normal"/>
    <w:next w:val="Tenant_Normal"/>
    <w:link w:val="Tenant_QuoteChar"/>
    <w:uiPriority w:val="29"/>
    <w:qFormat/>
    <w:rsid w:val="00FC693F"/>
    <w:rPr>
      <w:i/>
      <w:iCs/>
      <w:color w:val="000000" w:themeColor="text1"/>
    </w:rPr>
  </w:style>
  <w:style w:type="character" w:customStyle="1" w:styleId="Tenant_QuoteChar">
    <w:name w:val="Tenant_Quote Char"/>
    <w:basedOn w:val="Tenant_DefaultParagraphFont"/>
    <w:link w:val="Tenant_Quote"/>
    <w:uiPriority w:val="29"/>
    <w:rsid w:val="00FC693F"/>
    <w:rPr>
      <w:i/>
      <w:iCs/>
      <w:color w:val="000000" w:themeColor="text1"/>
    </w:rPr>
  </w:style>
  <w:style w:type="character" w:customStyle="1" w:styleId="Tenant_Heading4Char">
    <w:name w:val="Tenant_Heading 4 Char"/>
    <w:basedOn w:val="Tenant_DefaultParagraphFont"/>
    <w:link w:val="Tenant_Heading4"/>
    <w:uiPriority w:val="9"/>
    <w:semiHidden/>
    <w:rsid w:val="00FC693F"/>
    <w:rPr>
      <w:rFonts w:asciiTheme="majorHAnsi" w:eastAsiaTheme="majorEastAsia" w:hAnsiTheme="majorHAnsi" w:cstheme="majorBidi"/>
      <w:b/>
      <w:bCs/>
      <w:i/>
      <w:iCs/>
      <w:color w:val="4F81BD" w:themeColor="accent1"/>
    </w:rPr>
  </w:style>
  <w:style w:type="character" w:customStyle="1" w:styleId="Tenant_Heading5Char">
    <w:name w:val="Tenant_Heading 5 Char"/>
    <w:basedOn w:val="Tenant_DefaultParagraphFont"/>
    <w:link w:val="Tenant_Heading5"/>
    <w:uiPriority w:val="9"/>
    <w:semiHidden/>
    <w:rsid w:val="00FC693F"/>
    <w:rPr>
      <w:rFonts w:asciiTheme="majorHAnsi" w:eastAsiaTheme="majorEastAsia" w:hAnsiTheme="majorHAnsi" w:cstheme="majorBidi"/>
      <w:color w:val="243F60" w:themeColor="accent1" w:themeShade="7F"/>
    </w:rPr>
  </w:style>
  <w:style w:type="character" w:customStyle="1" w:styleId="Tenant_Heading6Char">
    <w:name w:val="Tenant_Heading 6 Char"/>
    <w:basedOn w:val="Tenant_DefaultParagraphFont"/>
    <w:link w:val="Tenant_Heading6"/>
    <w:uiPriority w:val="9"/>
    <w:semiHidden/>
    <w:rsid w:val="00FC693F"/>
    <w:rPr>
      <w:rFonts w:asciiTheme="majorHAnsi" w:eastAsiaTheme="majorEastAsia" w:hAnsiTheme="majorHAnsi" w:cstheme="majorBidi"/>
      <w:i/>
      <w:iCs/>
      <w:color w:val="243F60" w:themeColor="accent1" w:themeShade="7F"/>
    </w:rPr>
  </w:style>
  <w:style w:type="character" w:customStyle="1" w:styleId="Tenant_Heading7Char">
    <w:name w:val="Tenant_Heading 7 Char"/>
    <w:basedOn w:val="Tenant_DefaultParagraphFont"/>
    <w:link w:val="Tenant_Heading7"/>
    <w:uiPriority w:val="9"/>
    <w:semiHidden/>
    <w:rsid w:val="00FC693F"/>
    <w:rPr>
      <w:rFonts w:asciiTheme="majorHAnsi" w:eastAsiaTheme="majorEastAsia" w:hAnsiTheme="majorHAnsi" w:cstheme="majorBidi"/>
      <w:i/>
      <w:iCs/>
      <w:color w:val="404040" w:themeColor="text1" w:themeTint="BF"/>
    </w:rPr>
  </w:style>
  <w:style w:type="character" w:customStyle="1" w:styleId="Tenant_Heading8Char">
    <w:name w:val="Tenant_Heading 8 Char"/>
    <w:basedOn w:val="Tenant_DefaultParagraphFont"/>
    <w:link w:val="Tenant_Heading8"/>
    <w:uiPriority w:val="9"/>
    <w:semiHidden/>
    <w:rsid w:val="00FC693F"/>
    <w:rPr>
      <w:rFonts w:asciiTheme="majorHAnsi" w:eastAsiaTheme="majorEastAsia" w:hAnsiTheme="majorHAnsi" w:cstheme="majorBidi"/>
      <w:color w:val="4F81BD" w:themeColor="accent1"/>
      <w:sz w:val="20"/>
      <w:szCs w:val="20"/>
    </w:rPr>
  </w:style>
  <w:style w:type="character" w:customStyle="1" w:styleId="Tenant_Heading9Char">
    <w:name w:val="Tenant_Heading 9 Char"/>
    <w:basedOn w:val="Tenant_DefaultParagraphFont"/>
    <w:link w:val="Tenant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Tenant_Caption">
    <w:name w:val="Tenant_caption"/>
    <w:basedOn w:val="Tenant_Normal"/>
    <w:next w:val="Tenant_Normal"/>
    <w:uiPriority w:val="35"/>
    <w:semiHidden/>
    <w:unhideWhenUsed/>
    <w:qFormat/>
    <w:rsid w:val="00FC693F"/>
    <w:pPr>
      <w:spacing w:line="240" w:lineRule="auto"/>
    </w:pPr>
    <w:rPr>
      <w:b/>
      <w:bCs/>
      <w:color w:val="4F81BD" w:themeColor="accent1"/>
      <w:sz w:val="18"/>
      <w:szCs w:val="18"/>
    </w:rPr>
  </w:style>
  <w:style w:type="character" w:styleId="Tenant_Strong">
    <w:name w:val="Tenant_Strong"/>
    <w:basedOn w:val="Tenant_DefaultParagraphFont"/>
    <w:uiPriority w:val="22"/>
    <w:qFormat/>
    <w:rsid w:val="00FC693F"/>
    <w:rPr>
      <w:b/>
      <w:bCs/>
    </w:rPr>
  </w:style>
  <w:style w:type="character" w:styleId="Tenant_Emphasis">
    <w:name w:val="Tenant_Emphasis"/>
    <w:basedOn w:val="Tenant_DefaultParagraphFont"/>
    <w:uiPriority w:val="20"/>
    <w:qFormat/>
    <w:rsid w:val="00FC693F"/>
    <w:rPr>
      <w:i/>
      <w:iCs/>
    </w:rPr>
  </w:style>
  <w:style w:type="paragraph" w:styleId="Tenant_IntenseQuote">
    <w:name w:val="Tenant_Intense Quote"/>
    <w:basedOn w:val="Tenant_Normal"/>
    <w:next w:val="Tenant_Normal"/>
    <w:link w:val="Tenant_IntenseQuoteChar"/>
    <w:uiPriority w:val="30"/>
    <w:qFormat/>
    <w:rsid w:val="00FC693F"/>
    <w:pPr>
      <w:spacing w:before="200" w:after="280"/>
      <w:ind w:left="936" w:right="936"/>
    </w:pPr>
    <w:rPr>
      <w:b/>
      <w:bCs/>
      <w:i/>
      <w:iCs/>
      <w:color w:val="4F81BD" w:themeColor="accent1"/>
    </w:rPr>
  </w:style>
  <w:style w:type="character" w:customStyle="1" w:styleId="Tenant_IntenseQuoteChar">
    <w:name w:val="Tenant_Intense Quote Char"/>
    <w:basedOn w:val="Tenant_DefaultParagraphFont"/>
    <w:link w:val="Tenant_IntenseQuote"/>
    <w:uiPriority w:val="30"/>
    <w:rsid w:val="00FC693F"/>
    <w:rPr>
      <w:b/>
      <w:bCs/>
      <w:i/>
      <w:iCs/>
      <w:color w:val="4F81BD" w:themeColor="accent1"/>
    </w:rPr>
  </w:style>
  <w:style w:type="character" w:styleId="Tenant_SubtleEmphasis">
    <w:name w:val="Tenant_Subtle Emphasis"/>
    <w:basedOn w:val="Tenant_DefaultParagraphFont"/>
    <w:uiPriority w:val="19"/>
    <w:qFormat/>
    <w:rsid w:val="00FC693F"/>
    <w:rPr>
      <w:i/>
      <w:iCs/>
      <w:color w:val="808080" w:themeColor="text1" w:themeTint="7F"/>
    </w:rPr>
  </w:style>
  <w:style w:type="character" w:styleId="Tenant_IntenseEmphasis">
    <w:name w:val="Tenant_Intense Emphasis"/>
    <w:basedOn w:val="Tenant_DefaultParagraphFont"/>
    <w:uiPriority w:val="21"/>
    <w:qFormat/>
    <w:rsid w:val="00FC693F"/>
    <w:rPr>
      <w:b/>
      <w:bCs/>
      <w:i/>
      <w:iCs/>
      <w:color w:val="4F81BD" w:themeColor="accent1"/>
    </w:rPr>
  </w:style>
  <w:style w:type="character" w:styleId="Tenant_SubtleReference">
    <w:name w:val="Tenant_Subtle Reference"/>
    <w:basedOn w:val="Tenant_DefaultParagraphFont"/>
    <w:uiPriority w:val="31"/>
    <w:qFormat/>
    <w:rsid w:val="00FC693F"/>
    <w:rPr>
      <w:smallCaps/>
      <w:color w:val="C0504D" w:themeColor="accent2"/>
      <w:u w:val="single"/>
    </w:rPr>
  </w:style>
  <w:style w:type="character" w:styleId="Tenant_IntenseReference">
    <w:name w:val="Tenant_Intense Reference"/>
    <w:basedOn w:val="Tenant_DefaultParagraphFont"/>
    <w:uiPriority w:val="32"/>
    <w:qFormat/>
    <w:rsid w:val="00FC693F"/>
    <w:rPr>
      <w:b/>
      <w:bCs/>
      <w:smallCaps/>
      <w:color w:val="C0504D" w:themeColor="accent2"/>
      <w:spacing w:val="5"/>
      <w:u w:val="single"/>
    </w:rPr>
  </w:style>
  <w:style w:type="character" w:styleId="Tenant_BookTitle">
    <w:name w:val="Tenant_Book Title"/>
    <w:basedOn w:val="Tenant_DefaultParagraphFont"/>
    <w:uiPriority w:val="33"/>
    <w:qFormat/>
    <w:rsid w:val="00FC693F"/>
    <w:rPr>
      <w:b/>
      <w:bCs/>
      <w:smallCaps/>
      <w:spacing w:val="5"/>
    </w:rPr>
  </w:style>
  <w:style w:type="paragraph" w:styleId="Tenant_TOCHeading">
    <w:name w:val="Tenant_TOC Heading"/>
    <w:basedOn w:val="Tenant_Heading1"/>
    <w:next w:val="Tenant_Normal"/>
    <w:uiPriority w:val="39"/>
    <w:semiHidden/>
    <w:unhideWhenUsed/>
    <w:qFormat/>
    <w:rsid w:val="00FC693F"/>
    <w:pPr>
      <w:outlineLvl w:val="9"/>
    </w:pPr>
  </w:style>
  <w:style w:type="table" w:styleId="Tenant_TableGrid">
    <w:name w:val="Tenant_Table Grid"/>
    <w:basedOn w:val="Tenant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enant_LightShading">
    <w:name w:val="Tenant_Light Shading"/>
    <w:basedOn w:val="Tenant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enant_LightShading-Accent1">
    <w:name w:val="Tenant_Light Shading Accent 1"/>
    <w:basedOn w:val="Tenant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enant_LightShading-Accent2">
    <w:name w:val="Tenant_Light Shading Accent 2"/>
    <w:basedOn w:val="Tenant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enant_LightShading-Accent3">
    <w:name w:val="Tenant_Light Shading Accent 3"/>
    <w:basedOn w:val="Tenant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enant_LightShading-Accent4">
    <w:name w:val="Tenant_Light Shading Accent 4"/>
    <w:basedOn w:val="Tenant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enant_LightShading-Accent5">
    <w:name w:val="Tenant_Light Shading Accent 5"/>
    <w:basedOn w:val="Tenant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enant_LightShading-Accent6">
    <w:name w:val="Tenant_Light Shading Accent 6"/>
    <w:basedOn w:val="Tenant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Tenant_LightList">
    <w:name w:val="Tenant_Light List"/>
    <w:basedOn w:val="Tenant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enant_LightList-Accent1">
    <w:name w:val="Tenant_Light List Accent 1"/>
    <w:basedOn w:val="Tenant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enant_LightList-Accent2">
    <w:name w:val="Tenant_Light List Accent 2"/>
    <w:basedOn w:val="Tenant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Tenant_LightList-Accent3">
    <w:name w:val="Tenant_Light List Accent 3"/>
    <w:basedOn w:val="Tenant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Tenant_LightList-Accent4">
    <w:name w:val="Tenant_Light List Accent 4"/>
    <w:basedOn w:val="Tenant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Tenant_LightList-Accent5">
    <w:name w:val="Tenant_Light List Accent 5"/>
    <w:basedOn w:val="Tenant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enant_LightList-Accent6">
    <w:name w:val="Tenant_Light List Accent 6"/>
    <w:basedOn w:val="Tenant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enant_LightGrid">
    <w:name w:val="Tenant_Light Grid"/>
    <w:basedOn w:val="Tenant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enant_LightGrid-Accent1">
    <w:name w:val="Tenant_Light Grid Accent 1"/>
    <w:basedOn w:val="Tenant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enant_LightGrid-Accent2">
    <w:name w:val="Tenant_Light Grid Accent 2"/>
    <w:basedOn w:val="Tenant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Tenant_LightGrid-Accent3">
    <w:name w:val="Tenant_Light Grid Accent 3"/>
    <w:basedOn w:val="Tenant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Tenant_LightGrid-Accent4">
    <w:name w:val="Tenant_Light Grid Accent 4"/>
    <w:basedOn w:val="Tenant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Tenant_LightGrid-Accent5">
    <w:name w:val="Tenant_Light Grid Accent 5"/>
    <w:basedOn w:val="Tenant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Tenant_LightGrid-Accent6">
    <w:name w:val="Tenant_Light Grid Accent 6"/>
    <w:basedOn w:val="Tenant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enant_MediumShading1">
    <w:name w:val="Tenant_Medium Shading 1"/>
    <w:basedOn w:val="Tenant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enant_MediumShading1-Accent1">
    <w:name w:val="Tenant_Medium Shading 1 Accent 1"/>
    <w:basedOn w:val="Tenant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enant_MediumShading1-Accent2">
    <w:name w:val="Tenant_Medium Shading 1 Accent 2"/>
    <w:basedOn w:val="Tenant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enant_MediumShading1-Accent3">
    <w:name w:val="Tenant_Medium Shading 1 Accent 3"/>
    <w:basedOn w:val="Tenant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enant_MediumShading1-Accent4">
    <w:name w:val="Tenant_Medium Shading 1 Accent 4"/>
    <w:basedOn w:val="Tenant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enant_MediumShading1-Accent5">
    <w:name w:val="Tenant_Medium Shading 1 Accent 5"/>
    <w:basedOn w:val="Tenant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enant_MediumShading1-Accent6">
    <w:name w:val="Tenant_Medium Shading 1 Accent 6"/>
    <w:basedOn w:val="Tenant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enant_MediumShading2">
    <w:name w:val="Tenant_Medium Shading 2"/>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Shading2-Accent1">
    <w:name w:val="Tenant_Medium Shading 2 Accent 1"/>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Shading2-Accent2">
    <w:name w:val="Tenant_Medium Shading 2 Accent 2"/>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Shading2-Accent3">
    <w:name w:val="Tenant_Medium Shading 2 Accent 3"/>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Shading2-Accent4">
    <w:name w:val="Tenant_Medium Shading 2 Accent 4"/>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Shading2-Accent5">
    <w:name w:val="Tenant_Medium Shading 2 Accent 5"/>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Shading2-Accent6">
    <w:name w:val="Tenant_Medium Shading 2 Accent 6"/>
    <w:basedOn w:val="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enant_MediumList1">
    <w:name w:val="Tenant_Medium List 1"/>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Tenant_MediumList1-Accent1">
    <w:name w:val="Tenant_Medium List 1 Accent 1"/>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Tenant_MediumList1-Accent2">
    <w:name w:val="Tenant_Medium List 1 Accent 2"/>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Tenant_MediumList1-Accent3">
    <w:name w:val="Tenant_Medium List 1 Accent 3"/>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Tenant_MediumList1-Accent4">
    <w:name w:val="Tenant_Medium List 1 Accent 4"/>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Tenant_MediumList1-Accent5">
    <w:name w:val="Tenant_Medium List 1 Accent 5"/>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Tenant_MediumList1-Accent6">
    <w:name w:val="Tenant_Medium List 1 Accent 6"/>
    <w:basedOn w:val="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enant_MediumList2">
    <w:name w:val="Tenant_Medium List 2"/>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List2-Accent1">
    <w:name w:val="Tenant_Medium List 2 Accent 1"/>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List2-Accent2">
    <w:name w:val="Tenant_Medium List 2 Accent 2"/>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List2-Accent3">
    <w:name w:val="Tenant_Medium List 2 Accent 3"/>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List2-Accent4">
    <w:name w:val="Tenant_Medium List 2 Accent 4"/>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List2-Accent5">
    <w:name w:val="Tenant_Medium List 2 Accent 5"/>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List2-Accent6">
    <w:name w:val="Tenant_Medium List 2 Accent 6"/>
    <w:basedOn w:val="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enant_MediumGrid1">
    <w:name w:val="Tenant_Medium Grid 1"/>
    <w:basedOn w:val="Tenant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enant_MediumGrid1-Accent1">
    <w:name w:val="Tenant_Medium Grid 1 Accent 1"/>
    <w:basedOn w:val="Tenant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enant_MediumGrid1-Accent2">
    <w:name w:val="Tenant_Medium Grid 1 Accent 2"/>
    <w:basedOn w:val="Tenant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Tenant_MediumGrid1-Accent3">
    <w:name w:val="Tenant_Medium Grid 1 Accent 3"/>
    <w:basedOn w:val="Tenant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Tenant_MediumGrid1-Accent4">
    <w:name w:val="Tenant_Medium Grid 1 Accent 4"/>
    <w:basedOn w:val="Tenant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Tenant_MediumGrid1-Accent5">
    <w:name w:val="Tenant_Medium Grid 1 Accent 5"/>
    <w:basedOn w:val="Tenant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Tenant_MediumGrid1-Accent6">
    <w:name w:val="Tenant_Medium Grid 1 Accent 6"/>
    <w:basedOn w:val="Tenant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enant_MediumGrid2">
    <w:name w:val="Tenant_Medium Grid 2"/>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Tenant_MediumGrid2-Accent1">
    <w:name w:val="Tenant_Medium Grid 2 Accent 1"/>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Tenant_MediumGrid2-Accent2">
    <w:name w:val="Tenant_Medium Grid 2 Accent 2"/>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Tenant_MediumGrid2-Accent3">
    <w:name w:val="Tenant_Medium Grid 2 Accent 3"/>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Tenant_MediumGrid2-Accent4">
    <w:name w:val="Tenant_Medium Grid 2 Accent 4"/>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Tenant_MediumGrid2-Accent5">
    <w:name w:val="Tenant_Medium Grid 2 Accent 5"/>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Tenant_MediumGrid2-Accent6">
    <w:name w:val="Tenant_Medium Grid 2 Accent 6"/>
    <w:basedOn w:val="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Tenant_MediumGrid3">
    <w:name w:val="Tenant_Medium Grid 3"/>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enant_MediumGrid3-Accent1">
    <w:name w:val="Tenant_Medium Grid 3 Accent 1"/>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enant_MediumGrid3-Accent2">
    <w:name w:val="Tenant_Medium Grid 3 Accent 2"/>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Tenant_MediumGrid3-Accent3">
    <w:name w:val="Tenant_Medium Grid 3 Accent 3"/>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Tenant_MediumGrid3-Accent4">
    <w:name w:val="Tenant_Medium Grid 3 Accent 4"/>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Tenant_MediumGrid3-Accent5">
    <w:name w:val="Tenant_Medium Grid 3 Accent 5"/>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Tenant_MediumGrid3-Accent6">
    <w:name w:val="Tenant_Medium Grid 3 Accent 6"/>
    <w:basedOn w:val="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nant_DarkList">
    <w:name w:val="Tenant_Dark List"/>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nant_DarkList-Accent1">
    <w:name w:val="Tenant_Dark List Accent 1"/>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nant_DarkList-Accent2">
    <w:name w:val="Tenant_Dark List Accent 2"/>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nant_DarkList-Accent3">
    <w:name w:val="Tenant_Dark List Accent 3"/>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nant_DarkList-Accent4">
    <w:name w:val="Tenant_Dark List Accent 4"/>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nant_DarkList-Accent5">
    <w:name w:val="Tenant_Dark List Accent 5"/>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nant_DarkList-Accent6">
    <w:name w:val="Tenant_Dark List Accent 6"/>
    <w:basedOn w:val="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enant_ColorfulShading">
    <w:name w:val="Tenant_Colorful Shading"/>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enant_ColorfulShading-Accent1">
    <w:name w:val="Tenant_Colorful Shading Accent 1"/>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enant_ColorfulShading-Accent2">
    <w:name w:val="Tenant_Colorful Shading Accent 2"/>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enant_ColorfulShading-Accent3">
    <w:name w:val="Tenant_Colorful Shading Accent 3"/>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enant_ColorfulShading-Accent4">
    <w:name w:val="Tenant_Colorful Shading Accent 4"/>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enant_ColorfulShading-Accent5">
    <w:name w:val="Tenant_Colorful Shading Accent 5"/>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enant_ColorfulShading-Accent6">
    <w:name w:val="Tenant_Colorful Shading Accent 6"/>
    <w:basedOn w:val="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Tenant_ColorfulList">
    <w:name w:val="Tenant_Colorful List"/>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Tenant_ColorfulList-Accent1">
    <w:name w:val="Tenant_Colorful List Accent 1"/>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Tenant_ColorfulList-Accent2">
    <w:name w:val="Tenant_Colorful List Accent 2"/>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Tenant_ColorfulList-Accent3">
    <w:name w:val="Tenant_Colorful List Accent 3"/>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Tenant_ColorfulList-Accent4">
    <w:name w:val="Tenant_Colorful List Accent 4"/>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Tenant_ColorfulList-Accent5">
    <w:name w:val="Tenant_Colorful List Accent 5"/>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Tenant_ColorfulList-Accent6">
    <w:name w:val="Tenant_Colorful List Accent 6"/>
    <w:basedOn w:val="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enant_ColorfulGrid">
    <w:name w:val="Tenant_Colorful Grid"/>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enant_ColorfulGrid-Accent1">
    <w:name w:val="Tenant_Colorful Grid Accent 1"/>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enant_ColorfulGrid-Accent2">
    <w:name w:val="Tenant_Colorful Grid Accent 2"/>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Tenant_ColorfulGrid-Accent3">
    <w:name w:val="Tenant_Colorful Grid Accent 3"/>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Tenant_ColorfulGrid-Accent4">
    <w:name w:val="Tenant_Colorful Grid Accent 4"/>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Tenant_ColorfulGrid-Accent5">
    <w:name w:val="Tenant_Colorful Grid Accent 5"/>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Tenant_ColorfulGrid-Accent6">
    <w:name w:val="Tenant_Colorful Grid Accent 6"/>
    <w:basedOn w:val="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IntroTenant_Normal">
    <w:name w:val="IntroTenant_Normal"/>
    <w:qFormat/>
    <w:rsid w:val="00FC693F"/>
    <w:pPr>
      <w:spacing w:after="120"/>
    </w:pPr>
    <w:rPr>
      <w:rFonts w:ascii="Calibri" w:hAnsi="Calibri"/>
      <w:sz w:val="20"/>
    </w:rPr>
  </w:style>
  <w:style w:type="paragraph" w:styleId="IntroTenant_Header">
    <w:name w:val="IntroTenant_header"/>
    <w:basedOn w:val="IntroTenant_Normal"/>
    <w:link w:val="IntroTenant_HeaderChar"/>
    <w:uiPriority w:val="99"/>
    <w:unhideWhenUsed/>
    <w:rsid w:val="00E618BF"/>
    <w:pPr>
      <w:tabs>
        <w:tab w:val="center" w:pos="4680"/>
        <w:tab w:val="right" w:pos="9360"/>
      </w:tabs>
      <w:spacing w:after="0" w:line="240" w:lineRule="auto"/>
    </w:pPr>
  </w:style>
  <w:style w:type="character" w:customStyle="1" w:styleId="IntroTenant_HeaderChar">
    <w:name w:val="IntroTenant_Header Char"/>
    <w:basedOn w:val="IntroTenant_DefaultParagraphFont"/>
    <w:link w:val="IntroTenant_Header"/>
    <w:uiPriority w:val="99"/>
    <w:rsid w:val="00E618BF"/>
  </w:style>
  <w:style w:type="paragraph" w:styleId="IntroTenant_Footer">
    <w:name w:val="IntroTenant_footer"/>
    <w:basedOn w:val="IntroTenant_Normal"/>
    <w:link w:val="IntroTenant_FooterChar"/>
    <w:uiPriority w:val="99"/>
    <w:unhideWhenUsed/>
    <w:rsid w:val="00E618BF"/>
    <w:pPr>
      <w:tabs>
        <w:tab w:val="center" w:pos="4680"/>
        <w:tab w:val="right" w:pos="9360"/>
      </w:tabs>
      <w:spacing w:after="0" w:line="240" w:lineRule="auto"/>
    </w:pPr>
  </w:style>
  <w:style w:type="character" w:customStyle="1" w:styleId="IntroTenant_FooterChar">
    <w:name w:val="IntroTenant_Footer Char"/>
    <w:basedOn w:val="IntroTenant_DefaultParagraphFont"/>
    <w:link w:val="IntroTenant_Footer"/>
    <w:uiPriority w:val="99"/>
    <w:rsid w:val="00E618BF"/>
  </w:style>
  <w:style w:type="paragraph" w:styleId="IntroTenant_Heading1">
    <w:name w:val="IntroTenant_heading 1"/>
    <w:basedOn w:val="IntroTenant_Normal"/>
    <w:next w:val="IntroTenant_Normal"/>
    <w:link w:val="IntroTenant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IntroTenant_Heading2">
    <w:name w:val="IntroTenant_heading 2"/>
    <w:basedOn w:val="IntroTenant_Normal"/>
    <w:next w:val="IntroTenant_Normal"/>
    <w:link w:val="IntroTenant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IntroTenant_Heading3">
    <w:name w:val="IntroTenant_heading 3"/>
    <w:basedOn w:val="IntroTenant_Normal"/>
    <w:next w:val="IntroTenant_Normal"/>
    <w:link w:val="IntroTenant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IntroTenant_Heading4">
    <w:name w:val="IntroTenant_heading 4"/>
    <w:basedOn w:val="IntroTenant_Normal"/>
    <w:next w:val="IntroTenant_Normal"/>
    <w:link w:val="IntroTenant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IntroTenant_Heading5">
    <w:name w:val="IntroTenant_heading 5"/>
    <w:basedOn w:val="IntroTenant_Normal"/>
    <w:next w:val="IntroTenant_Normal"/>
    <w:link w:val="IntroTenant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IntroTenant_Heading6">
    <w:name w:val="IntroTenant_heading 6"/>
    <w:basedOn w:val="IntroTenant_Normal"/>
    <w:next w:val="IntroTenant_Normal"/>
    <w:link w:val="IntroTenant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IntroTenant_Heading7">
    <w:name w:val="IntroTenant_heading 7"/>
    <w:basedOn w:val="IntroTenant_Normal"/>
    <w:next w:val="IntroTenant_Normal"/>
    <w:link w:val="IntroTenant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IntroTenant_Heading8">
    <w:name w:val="IntroTenant_heading 8"/>
    <w:basedOn w:val="IntroTenant_Normal"/>
    <w:next w:val="IntroTenant_Normal"/>
    <w:link w:val="IntroTenant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IntroTenant_Heading9">
    <w:name w:val="IntroTenant_heading 9"/>
    <w:basedOn w:val="IntroTenant_Normal"/>
    <w:next w:val="IntroTenant_Normal"/>
    <w:link w:val="IntroTenant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IntroTenant_DefaultParagraphFont">
    <w:name w:val="IntroTenant_Default Paragraph Font"/>
    <w:uiPriority w:val="1"/>
    <w:semiHidden/>
    <w:unhideWhenUsed/>
  </w:style>
  <w:style w:type="table" w:default="1" w:styleId="IntroTenant_TableNormal">
    <w:name w:val="IntroTenant_Normal Table"/>
    <w:uiPriority w:val="99"/>
    <w:semiHidden/>
    <w:unhideWhenUsed/>
    <w:tblPr>
      <w:tblInd w:w="0" w:type="dxa"/>
      <w:tblCellMar>
        <w:top w:w="0" w:type="dxa"/>
        <w:left w:w="108" w:type="dxa"/>
        <w:bottom w:w="0" w:type="dxa"/>
        <w:right w:w="108" w:type="dxa"/>
      </w:tblCellMar>
    </w:tblPr>
  </w:style>
  <w:style w:type="numbering" w:default="1" w:styleId="IntroTenant_NoList">
    <w:name w:val="IntroTenant_No List"/>
    <w:uiPriority w:val="99"/>
    <w:semiHidden/>
    <w:unhideWhenUsed/>
  </w:style>
  <w:style w:type="paragraph" w:styleId="IntroTenant_NoSpacing">
    <w:name w:val="IntroTenant_No Spacing"/>
    <w:uiPriority w:val="1"/>
    <w:qFormat/>
    <w:rsid w:val="00FC693F"/>
    <w:pPr>
      <w:spacing w:after="0" w:line="240" w:lineRule="auto"/>
    </w:pPr>
  </w:style>
  <w:style w:type="character" w:customStyle="1" w:styleId="IntroTenant_Heading1Char">
    <w:name w:val="IntroTenant_Heading 1 Char"/>
    <w:basedOn w:val="IntroTenant_DefaultParagraphFont"/>
    <w:link w:val="IntroTenant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IntroTenant_Heading2Char">
    <w:name w:val="IntroTenant_Heading 2 Char"/>
    <w:basedOn w:val="IntroTenant_DefaultParagraphFont"/>
    <w:link w:val="IntroTenant_Heading2"/>
    <w:uiPriority w:val="9"/>
    <w:rsid w:val="00FC693F"/>
    <w:rPr>
      <w:rFonts w:asciiTheme="majorHAnsi" w:eastAsiaTheme="majorEastAsia" w:hAnsiTheme="majorHAnsi" w:cstheme="majorBidi"/>
      <w:b/>
      <w:bCs/>
      <w:color w:val="4F81BD" w:themeColor="accent1"/>
      <w:sz w:val="26"/>
      <w:szCs w:val="26"/>
    </w:rPr>
  </w:style>
  <w:style w:type="character" w:customStyle="1" w:styleId="IntroTenant_Heading3Char">
    <w:name w:val="IntroTenant_Heading 3 Char"/>
    <w:basedOn w:val="IntroTenant_DefaultParagraphFont"/>
    <w:link w:val="IntroTenant_Heading3"/>
    <w:uiPriority w:val="9"/>
    <w:rsid w:val="00FC693F"/>
    <w:rPr>
      <w:rFonts w:asciiTheme="majorHAnsi" w:eastAsiaTheme="majorEastAsia" w:hAnsiTheme="majorHAnsi" w:cstheme="majorBidi"/>
      <w:b/>
      <w:bCs/>
      <w:color w:val="4F81BD" w:themeColor="accent1"/>
    </w:rPr>
  </w:style>
  <w:style w:type="paragraph" w:styleId="IntroTenant_Title">
    <w:name w:val="IntroTenant_Title"/>
    <w:basedOn w:val="IntroTenant_Normal"/>
    <w:next w:val="IntroTenant_Normal"/>
    <w:link w:val="IntroTenant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IntroTenant_TitleChar">
    <w:name w:val="IntroTenant_Title Char"/>
    <w:basedOn w:val="IntroTenant_DefaultParagraphFont"/>
    <w:link w:val="IntroTenant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IntroTenant_Subtitle">
    <w:name w:val="IntroTenant_Subtitle"/>
    <w:basedOn w:val="IntroTenant_Normal"/>
    <w:next w:val="IntroTenant_Normal"/>
    <w:link w:val="IntroTenant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IntroTenant_SubtitleChar">
    <w:name w:val="IntroTenant_Subtitle Char"/>
    <w:basedOn w:val="IntroTenant_DefaultParagraphFont"/>
    <w:link w:val="IntroTenant_Subtitle"/>
    <w:uiPriority w:val="11"/>
    <w:rsid w:val="00FC693F"/>
    <w:rPr>
      <w:rFonts w:asciiTheme="majorHAnsi" w:eastAsiaTheme="majorEastAsia" w:hAnsiTheme="majorHAnsi" w:cstheme="majorBidi"/>
      <w:i/>
      <w:iCs/>
      <w:color w:val="4F81BD" w:themeColor="accent1"/>
      <w:spacing w:val="15"/>
      <w:sz w:val="24"/>
      <w:szCs w:val="24"/>
    </w:rPr>
  </w:style>
  <w:style w:type="paragraph" w:styleId="IntroTenant_ListParagraph">
    <w:name w:val="IntroTenant_List Paragraph"/>
    <w:basedOn w:val="IntroTenant_Normal"/>
    <w:uiPriority w:val="34"/>
    <w:qFormat/>
    <w:rsid w:val="00FC693F"/>
    <w:pPr>
      <w:ind w:left="720"/>
      <w:contextualSpacing/>
    </w:pPr>
  </w:style>
  <w:style w:type="paragraph" w:styleId="IntroTenant_BodyText">
    <w:name w:val="IntroTenant_Body Text"/>
    <w:basedOn w:val="IntroTenant_Normal"/>
    <w:link w:val="IntroTenant_BodyTextChar"/>
    <w:uiPriority w:val="99"/>
    <w:unhideWhenUsed/>
    <w:rsid w:val="00AA1D8D"/>
    <w:pPr>
      <w:spacing w:after="120"/>
    </w:pPr>
  </w:style>
  <w:style w:type="character" w:customStyle="1" w:styleId="IntroTenant_BodyTextChar">
    <w:name w:val="IntroTenant_Body Text Char"/>
    <w:basedOn w:val="IntroTenant_DefaultParagraphFont"/>
    <w:link w:val="IntroTenant_BodyText"/>
    <w:uiPriority w:val="99"/>
    <w:rsid w:val="00AA1D8D"/>
  </w:style>
  <w:style w:type="paragraph" w:styleId="IntroTenant_BodyText2">
    <w:name w:val="IntroTenant_Body Text 2"/>
    <w:basedOn w:val="IntroTenant_Normal"/>
    <w:link w:val="IntroTenant_BodyText2Char"/>
    <w:uiPriority w:val="99"/>
    <w:unhideWhenUsed/>
    <w:rsid w:val="00AA1D8D"/>
    <w:pPr>
      <w:spacing w:after="120" w:line="480" w:lineRule="auto"/>
    </w:pPr>
  </w:style>
  <w:style w:type="character" w:customStyle="1" w:styleId="IntroTenant_BodyText2Char">
    <w:name w:val="IntroTenant_Body Text 2 Char"/>
    <w:basedOn w:val="IntroTenant_DefaultParagraphFont"/>
    <w:link w:val="IntroTenant_BodyText2"/>
    <w:uiPriority w:val="99"/>
    <w:rsid w:val="00AA1D8D"/>
  </w:style>
  <w:style w:type="paragraph" w:styleId="IntroTenant_BodyText3">
    <w:name w:val="IntroTenant_Body Text 3"/>
    <w:basedOn w:val="IntroTenant_Normal"/>
    <w:link w:val="IntroTenant_BodyText3Char"/>
    <w:uiPriority w:val="99"/>
    <w:unhideWhenUsed/>
    <w:rsid w:val="00AA1D8D"/>
    <w:pPr>
      <w:spacing w:after="120"/>
    </w:pPr>
    <w:rPr>
      <w:sz w:val="16"/>
      <w:szCs w:val="16"/>
    </w:rPr>
  </w:style>
  <w:style w:type="character" w:customStyle="1" w:styleId="IntroTenant_BodyText3Char">
    <w:name w:val="IntroTenant_Body Text 3 Char"/>
    <w:basedOn w:val="IntroTenant_DefaultParagraphFont"/>
    <w:link w:val="IntroTenant_BodyText3"/>
    <w:uiPriority w:val="99"/>
    <w:rsid w:val="00AA1D8D"/>
    <w:rPr>
      <w:sz w:val="16"/>
      <w:szCs w:val="16"/>
    </w:rPr>
  </w:style>
  <w:style w:type="paragraph" w:styleId="IntroTenant_List">
    <w:name w:val="IntroTenant_List"/>
    <w:basedOn w:val="IntroTenant_Normal"/>
    <w:uiPriority w:val="99"/>
    <w:unhideWhenUsed/>
    <w:rsid w:val="00AA1D8D"/>
    <w:pPr>
      <w:ind w:left="360" w:hanging="360"/>
      <w:contextualSpacing/>
    </w:pPr>
  </w:style>
  <w:style w:type="paragraph" w:styleId="IntroTenant_List2">
    <w:name w:val="IntroTenant_List 2"/>
    <w:basedOn w:val="IntroTenant_Normal"/>
    <w:uiPriority w:val="99"/>
    <w:unhideWhenUsed/>
    <w:rsid w:val="00326F90"/>
    <w:pPr>
      <w:ind w:left="720" w:hanging="360"/>
      <w:contextualSpacing/>
    </w:pPr>
  </w:style>
  <w:style w:type="paragraph" w:styleId="IntroTenant_List3">
    <w:name w:val="IntroTenant_List 3"/>
    <w:basedOn w:val="IntroTenant_Normal"/>
    <w:uiPriority w:val="99"/>
    <w:unhideWhenUsed/>
    <w:rsid w:val="00326F90"/>
    <w:pPr>
      <w:ind w:left="1080" w:hanging="360"/>
      <w:contextualSpacing/>
    </w:pPr>
  </w:style>
  <w:style w:type="paragraph" w:styleId="IntroTenant_ListBullet">
    <w:name w:val="IntroTenant_List Bullet"/>
    <w:basedOn w:val="IntroTenant_Normal"/>
    <w:uiPriority w:val="99"/>
    <w:unhideWhenUsed/>
    <w:rsid w:val="00326F90"/>
    <w:pPr>
      <w:numPr>
        <w:numId w:val="1"/>
      </w:numPr>
      <w:contextualSpacing/>
    </w:pPr>
  </w:style>
  <w:style w:type="paragraph" w:styleId="IntroTenant_ListBullet2">
    <w:name w:val="IntroTenant_List Bullet 2"/>
    <w:basedOn w:val="IntroTenant_Normal"/>
    <w:uiPriority w:val="99"/>
    <w:unhideWhenUsed/>
    <w:rsid w:val="00326F90"/>
    <w:pPr>
      <w:numPr>
        <w:numId w:val="2"/>
      </w:numPr>
      <w:contextualSpacing/>
    </w:pPr>
  </w:style>
  <w:style w:type="paragraph" w:styleId="IntroTenant_ListBullet3">
    <w:name w:val="IntroTenant_List Bullet 3"/>
    <w:basedOn w:val="IntroTenant_Normal"/>
    <w:uiPriority w:val="99"/>
    <w:unhideWhenUsed/>
    <w:rsid w:val="00326F90"/>
    <w:pPr>
      <w:numPr>
        <w:numId w:val="3"/>
      </w:numPr>
      <w:contextualSpacing/>
    </w:pPr>
  </w:style>
  <w:style w:type="paragraph" w:styleId="IntroTenant_ListNumber">
    <w:name w:val="IntroTenant_List Number"/>
    <w:basedOn w:val="IntroTenant_Normal"/>
    <w:uiPriority w:val="99"/>
    <w:unhideWhenUsed/>
    <w:rsid w:val="00326F90"/>
    <w:pPr>
      <w:numPr>
        <w:numId w:val="5"/>
      </w:numPr>
      <w:contextualSpacing/>
    </w:pPr>
  </w:style>
  <w:style w:type="paragraph" w:styleId="IntroTenant_ListNumber2">
    <w:name w:val="IntroTenant_List Number 2"/>
    <w:basedOn w:val="IntroTenant_Normal"/>
    <w:uiPriority w:val="99"/>
    <w:unhideWhenUsed/>
    <w:rsid w:val="0029639D"/>
    <w:pPr>
      <w:numPr>
        <w:numId w:val="6"/>
      </w:numPr>
      <w:contextualSpacing/>
    </w:pPr>
  </w:style>
  <w:style w:type="paragraph" w:styleId="IntroTenant_ListNumber3">
    <w:name w:val="IntroTenant_List Number 3"/>
    <w:basedOn w:val="IntroTenant_Normal"/>
    <w:uiPriority w:val="99"/>
    <w:unhideWhenUsed/>
    <w:rsid w:val="0029639D"/>
    <w:pPr>
      <w:numPr>
        <w:numId w:val="7"/>
      </w:numPr>
      <w:contextualSpacing/>
    </w:pPr>
  </w:style>
  <w:style w:type="paragraph" w:styleId="IntroTenant_ListContinue">
    <w:name w:val="IntroTenant_List Continue"/>
    <w:basedOn w:val="IntroTenant_Normal"/>
    <w:uiPriority w:val="99"/>
    <w:unhideWhenUsed/>
    <w:rsid w:val="0029639D"/>
    <w:pPr>
      <w:spacing w:after="120"/>
      <w:ind w:left="360"/>
      <w:contextualSpacing/>
    </w:pPr>
  </w:style>
  <w:style w:type="paragraph" w:styleId="IntroTenant_ListContinue2">
    <w:name w:val="IntroTenant_List Continue 2"/>
    <w:basedOn w:val="IntroTenant_Normal"/>
    <w:uiPriority w:val="99"/>
    <w:unhideWhenUsed/>
    <w:rsid w:val="0029639D"/>
    <w:pPr>
      <w:spacing w:after="120"/>
      <w:ind w:left="720"/>
      <w:contextualSpacing/>
    </w:pPr>
  </w:style>
  <w:style w:type="paragraph" w:styleId="IntroTenant_ListContinue3">
    <w:name w:val="IntroTenant_List Continue 3"/>
    <w:basedOn w:val="IntroTenant_Normal"/>
    <w:uiPriority w:val="99"/>
    <w:unhideWhenUsed/>
    <w:rsid w:val="0029639D"/>
    <w:pPr>
      <w:spacing w:after="120"/>
      <w:ind w:left="1080"/>
      <w:contextualSpacing/>
    </w:pPr>
  </w:style>
  <w:style w:type="paragraph" w:styleId="IntroTenant_MacroText">
    <w:name w:val="IntroTenant_macro"/>
    <w:link w:val="IntroTenant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IntroTenant_MacroTextChar">
    <w:name w:val="IntroTenant_Macro Text Char"/>
    <w:basedOn w:val="IntroTenant_DefaultParagraphFont"/>
    <w:link w:val="IntroTenant_MacroText"/>
    <w:uiPriority w:val="99"/>
    <w:rsid w:val="0029639D"/>
    <w:rPr>
      <w:rFonts w:ascii="Courier" w:hAnsi="Courier"/>
      <w:sz w:val="20"/>
      <w:szCs w:val="20"/>
    </w:rPr>
  </w:style>
  <w:style w:type="paragraph" w:styleId="IntroTenant_Quote">
    <w:name w:val="IntroTenant_Quote"/>
    <w:basedOn w:val="IntroTenant_Normal"/>
    <w:next w:val="IntroTenant_Normal"/>
    <w:link w:val="IntroTenant_QuoteChar"/>
    <w:uiPriority w:val="29"/>
    <w:qFormat/>
    <w:rsid w:val="00FC693F"/>
    <w:rPr>
      <w:i/>
      <w:iCs/>
      <w:color w:val="000000" w:themeColor="text1"/>
    </w:rPr>
  </w:style>
  <w:style w:type="character" w:customStyle="1" w:styleId="IntroTenant_QuoteChar">
    <w:name w:val="IntroTenant_Quote Char"/>
    <w:basedOn w:val="IntroTenant_DefaultParagraphFont"/>
    <w:link w:val="IntroTenant_Quote"/>
    <w:uiPriority w:val="29"/>
    <w:rsid w:val="00FC693F"/>
    <w:rPr>
      <w:i/>
      <w:iCs/>
      <w:color w:val="000000" w:themeColor="text1"/>
    </w:rPr>
  </w:style>
  <w:style w:type="character" w:customStyle="1" w:styleId="IntroTenant_Heading4Char">
    <w:name w:val="IntroTenant_Heading 4 Char"/>
    <w:basedOn w:val="IntroTenant_DefaultParagraphFont"/>
    <w:link w:val="IntroTenant_Heading4"/>
    <w:uiPriority w:val="9"/>
    <w:semiHidden/>
    <w:rsid w:val="00FC693F"/>
    <w:rPr>
      <w:rFonts w:asciiTheme="majorHAnsi" w:eastAsiaTheme="majorEastAsia" w:hAnsiTheme="majorHAnsi" w:cstheme="majorBidi"/>
      <w:b/>
      <w:bCs/>
      <w:i/>
      <w:iCs/>
      <w:color w:val="4F81BD" w:themeColor="accent1"/>
    </w:rPr>
  </w:style>
  <w:style w:type="character" w:customStyle="1" w:styleId="IntroTenant_Heading5Char">
    <w:name w:val="IntroTenant_Heading 5 Char"/>
    <w:basedOn w:val="IntroTenant_DefaultParagraphFont"/>
    <w:link w:val="IntroTenant_Heading5"/>
    <w:uiPriority w:val="9"/>
    <w:semiHidden/>
    <w:rsid w:val="00FC693F"/>
    <w:rPr>
      <w:rFonts w:asciiTheme="majorHAnsi" w:eastAsiaTheme="majorEastAsia" w:hAnsiTheme="majorHAnsi" w:cstheme="majorBidi"/>
      <w:color w:val="243F60" w:themeColor="accent1" w:themeShade="7F"/>
    </w:rPr>
  </w:style>
  <w:style w:type="character" w:customStyle="1" w:styleId="IntroTenant_Heading6Char">
    <w:name w:val="IntroTenant_Heading 6 Char"/>
    <w:basedOn w:val="IntroTenant_DefaultParagraphFont"/>
    <w:link w:val="IntroTenant_Heading6"/>
    <w:uiPriority w:val="9"/>
    <w:semiHidden/>
    <w:rsid w:val="00FC693F"/>
    <w:rPr>
      <w:rFonts w:asciiTheme="majorHAnsi" w:eastAsiaTheme="majorEastAsia" w:hAnsiTheme="majorHAnsi" w:cstheme="majorBidi"/>
      <w:i/>
      <w:iCs/>
      <w:color w:val="243F60" w:themeColor="accent1" w:themeShade="7F"/>
    </w:rPr>
  </w:style>
  <w:style w:type="character" w:customStyle="1" w:styleId="IntroTenant_Heading7Char">
    <w:name w:val="IntroTenant_Heading 7 Char"/>
    <w:basedOn w:val="IntroTenant_DefaultParagraphFont"/>
    <w:link w:val="IntroTenant_Heading7"/>
    <w:uiPriority w:val="9"/>
    <w:semiHidden/>
    <w:rsid w:val="00FC693F"/>
    <w:rPr>
      <w:rFonts w:asciiTheme="majorHAnsi" w:eastAsiaTheme="majorEastAsia" w:hAnsiTheme="majorHAnsi" w:cstheme="majorBidi"/>
      <w:i/>
      <w:iCs/>
      <w:color w:val="404040" w:themeColor="text1" w:themeTint="BF"/>
    </w:rPr>
  </w:style>
  <w:style w:type="character" w:customStyle="1" w:styleId="IntroTenant_Heading8Char">
    <w:name w:val="IntroTenant_Heading 8 Char"/>
    <w:basedOn w:val="IntroTenant_DefaultParagraphFont"/>
    <w:link w:val="IntroTenant_Heading8"/>
    <w:uiPriority w:val="9"/>
    <w:semiHidden/>
    <w:rsid w:val="00FC693F"/>
    <w:rPr>
      <w:rFonts w:asciiTheme="majorHAnsi" w:eastAsiaTheme="majorEastAsia" w:hAnsiTheme="majorHAnsi" w:cstheme="majorBidi"/>
      <w:color w:val="4F81BD" w:themeColor="accent1"/>
      <w:sz w:val="20"/>
      <w:szCs w:val="20"/>
    </w:rPr>
  </w:style>
  <w:style w:type="character" w:customStyle="1" w:styleId="IntroTenant_Heading9Char">
    <w:name w:val="IntroTenant_Heading 9 Char"/>
    <w:basedOn w:val="IntroTenant_DefaultParagraphFont"/>
    <w:link w:val="IntroTenant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IntroTenant_Caption">
    <w:name w:val="IntroTenant_caption"/>
    <w:basedOn w:val="IntroTenant_Normal"/>
    <w:next w:val="IntroTenant_Normal"/>
    <w:uiPriority w:val="35"/>
    <w:semiHidden/>
    <w:unhideWhenUsed/>
    <w:qFormat/>
    <w:rsid w:val="00FC693F"/>
    <w:pPr>
      <w:spacing w:line="240" w:lineRule="auto"/>
    </w:pPr>
    <w:rPr>
      <w:b/>
      <w:bCs/>
      <w:color w:val="4F81BD" w:themeColor="accent1"/>
      <w:sz w:val="18"/>
      <w:szCs w:val="18"/>
    </w:rPr>
  </w:style>
  <w:style w:type="character" w:styleId="IntroTenant_Strong">
    <w:name w:val="IntroTenant_Strong"/>
    <w:basedOn w:val="IntroTenant_DefaultParagraphFont"/>
    <w:uiPriority w:val="22"/>
    <w:qFormat/>
    <w:rsid w:val="00FC693F"/>
    <w:rPr>
      <w:b/>
      <w:bCs/>
    </w:rPr>
  </w:style>
  <w:style w:type="character" w:styleId="IntroTenant_Emphasis">
    <w:name w:val="IntroTenant_Emphasis"/>
    <w:basedOn w:val="IntroTenant_DefaultParagraphFont"/>
    <w:uiPriority w:val="20"/>
    <w:qFormat/>
    <w:rsid w:val="00FC693F"/>
    <w:rPr>
      <w:i/>
      <w:iCs/>
    </w:rPr>
  </w:style>
  <w:style w:type="paragraph" w:styleId="IntroTenant_IntenseQuote">
    <w:name w:val="IntroTenant_Intense Quote"/>
    <w:basedOn w:val="IntroTenant_Normal"/>
    <w:next w:val="IntroTenant_Normal"/>
    <w:link w:val="IntroTenant_IntenseQuoteChar"/>
    <w:uiPriority w:val="30"/>
    <w:qFormat/>
    <w:rsid w:val="00FC693F"/>
    <w:pPr>
      <w:spacing w:before="200" w:after="280"/>
      <w:ind w:left="936" w:right="936"/>
    </w:pPr>
    <w:rPr>
      <w:b/>
      <w:bCs/>
      <w:i/>
      <w:iCs/>
      <w:color w:val="4F81BD" w:themeColor="accent1"/>
    </w:rPr>
  </w:style>
  <w:style w:type="character" w:customStyle="1" w:styleId="IntroTenant_IntenseQuoteChar">
    <w:name w:val="IntroTenant_Intense Quote Char"/>
    <w:basedOn w:val="IntroTenant_DefaultParagraphFont"/>
    <w:link w:val="IntroTenant_IntenseQuote"/>
    <w:uiPriority w:val="30"/>
    <w:rsid w:val="00FC693F"/>
    <w:rPr>
      <w:b/>
      <w:bCs/>
      <w:i/>
      <w:iCs/>
      <w:color w:val="4F81BD" w:themeColor="accent1"/>
    </w:rPr>
  </w:style>
  <w:style w:type="character" w:styleId="IntroTenant_SubtleEmphasis">
    <w:name w:val="IntroTenant_Subtle Emphasis"/>
    <w:basedOn w:val="IntroTenant_DefaultParagraphFont"/>
    <w:uiPriority w:val="19"/>
    <w:qFormat/>
    <w:rsid w:val="00FC693F"/>
    <w:rPr>
      <w:i/>
      <w:iCs/>
      <w:color w:val="808080" w:themeColor="text1" w:themeTint="7F"/>
    </w:rPr>
  </w:style>
  <w:style w:type="character" w:styleId="IntroTenant_IntenseEmphasis">
    <w:name w:val="IntroTenant_Intense Emphasis"/>
    <w:basedOn w:val="IntroTenant_DefaultParagraphFont"/>
    <w:uiPriority w:val="21"/>
    <w:qFormat/>
    <w:rsid w:val="00FC693F"/>
    <w:rPr>
      <w:b/>
      <w:bCs/>
      <w:i/>
      <w:iCs/>
      <w:color w:val="4F81BD" w:themeColor="accent1"/>
    </w:rPr>
  </w:style>
  <w:style w:type="character" w:styleId="IntroTenant_SubtleReference">
    <w:name w:val="IntroTenant_Subtle Reference"/>
    <w:basedOn w:val="IntroTenant_DefaultParagraphFont"/>
    <w:uiPriority w:val="31"/>
    <w:qFormat/>
    <w:rsid w:val="00FC693F"/>
    <w:rPr>
      <w:smallCaps/>
      <w:color w:val="C0504D" w:themeColor="accent2"/>
      <w:u w:val="single"/>
    </w:rPr>
  </w:style>
  <w:style w:type="character" w:styleId="IntroTenant_IntenseReference">
    <w:name w:val="IntroTenant_Intense Reference"/>
    <w:basedOn w:val="IntroTenant_DefaultParagraphFont"/>
    <w:uiPriority w:val="32"/>
    <w:qFormat/>
    <w:rsid w:val="00FC693F"/>
    <w:rPr>
      <w:b/>
      <w:bCs/>
      <w:smallCaps/>
      <w:color w:val="C0504D" w:themeColor="accent2"/>
      <w:spacing w:val="5"/>
      <w:u w:val="single"/>
    </w:rPr>
  </w:style>
  <w:style w:type="character" w:styleId="IntroTenant_BookTitle">
    <w:name w:val="IntroTenant_Book Title"/>
    <w:basedOn w:val="IntroTenant_DefaultParagraphFont"/>
    <w:uiPriority w:val="33"/>
    <w:qFormat/>
    <w:rsid w:val="00FC693F"/>
    <w:rPr>
      <w:b/>
      <w:bCs/>
      <w:smallCaps/>
      <w:spacing w:val="5"/>
    </w:rPr>
  </w:style>
  <w:style w:type="paragraph" w:styleId="IntroTenant_TOCHeading">
    <w:name w:val="IntroTenant_TOC Heading"/>
    <w:basedOn w:val="IntroTenant_Heading1"/>
    <w:next w:val="IntroTenant_Normal"/>
    <w:uiPriority w:val="39"/>
    <w:semiHidden/>
    <w:unhideWhenUsed/>
    <w:qFormat/>
    <w:rsid w:val="00FC693F"/>
    <w:pPr>
      <w:outlineLvl w:val="9"/>
    </w:pPr>
  </w:style>
  <w:style w:type="table" w:styleId="IntroTenant_TableGrid">
    <w:name w:val="IntroTenant_Table Grid"/>
    <w:basedOn w:val="IntroTenant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IntroTenant_LightShading">
    <w:name w:val="IntroTenant_Light Shading"/>
    <w:basedOn w:val="IntroTenant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IntroTenant_LightShading-Accent1">
    <w:name w:val="IntroTenant_Light Shading Accent 1"/>
    <w:basedOn w:val="IntroTenant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IntroTenant_LightShading-Accent2">
    <w:name w:val="IntroTenant_Light Shading Accent 2"/>
    <w:basedOn w:val="IntroTenant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IntroTenant_LightShading-Accent3">
    <w:name w:val="IntroTenant_Light Shading Accent 3"/>
    <w:basedOn w:val="IntroTenant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IntroTenant_LightShading-Accent4">
    <w:name w:val="IntroTenant_Light Shading Accent 4"/>
    <w:basedOn w:val="IntroTenant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IntroTenant_LightShading-Accent5">
    <w:name w:val="IntroTenant_Light Shading Accent 5"/>
    <w:basedOn w:val="IntroTenant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IntroTenant_LightShading-Accent6">
    <w:name w:val="IntroTenant_Light Shading Accent 6"/>
    <w:basedOn w:val="IntroTenant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IntroTenant_LightList">
    <w:name w:val="IntroTenant_Light List"/>
    <w:basedOn w:val="IntroTenant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IntroTenant_LightList-Accent1">
    <w:name w:val="IntroTenant_Light List Accent 1"/>
    <w:basedOn w:val="IntroTenant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IntroTenant_LightList-Accent2">
    <w:name w:val="IntroTenant_Light List Accent 2"/>
    <w:basedOn w:val="IntroTenant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IntroTenant_LightList-Accent3">
    <w:name w:val="IntroTenant_Light List Accent 3"/>
    <w:basedOn w:val="IntroTenant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IntroTenant_LightList-Accent4">
    <w:name w:val="IntroTenant_Light List Accent 4"/>
    <w:basedOn w:val="IntroTenant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IntroTenant_LightList-Accent5">
    <w:name w:val="IntroTenant_Light List Accent 5"/>
    <w:basedOn w:val="IntroTenant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IntroTenant_LightList-Accent6">
    <w:name w:val="IntroTenant_Light List Accent 6"/>
    <w:basedOn w:val="IntroTenant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IntroTenant_LightGrid">
    <w:name w:val="IntroTenant_Light Grid"/>
    <w:basedOn w:val="IntroTenant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IntroTenant_LightGrid-Accent1">
    <w:name w:val="IntroTenant_Light Grid Accent 1"/>
    <w:basedOn w:val="IntroTenant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IntroTenant_LightGrid-Accent2">
    <w:name w:val="IntroTenant_Light Grid Accent 2"/>
    <w:basedOn w:val="IntroTenant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IntroTenant_LightGrid-Accent3">
    <w:name w:val="IntroTenant_Light Grid Accent 3"/>
    <w:basedOn w:val="IntroTenant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IntroTenant_LightGrid-Accent4">
    <w:name w:val="IntroTenant_Light Grid Accent 4"/>
    <w:basedOn w:val="IntroTenant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IntroTenant_LightGrid-Accent5">
    <w:name w:val="IntroTenant_Light Grid Accent 5"/>
    <w:basedOn w:val="IntroTenant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IntroTenant_LightGrid-Accent6">
    <w:name w:val="IntroTenant_Light Grid Accent 6"/>
    <w:basedOn w:val="IntroTenant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IntroTenant_MediumShading1">
    <w:name w:val="IntroTenant_Medium Shading 1"/>
    <w:basedOn w:val="IntroTenant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IntroTenant_MediumShading1-Accent1">
    <w:name w:val="IntroTenant_Medium Shading 1 Accent 1"/>
    <w:basedOn w:val="IntroTenant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IntroTenant_MediumShading1-Accent2">
    <w:name w:val="IntroTenant_Medium Shading 1 Accent 2"/>
    <w:basedOn w:val="IntroTenant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IntroTenant_MediumShading1-Accent3">
    <w:name w:val="IntroTenant_Medium Shading 1 Accent 3"/>
    <w:basedOn w:val="IntroTenant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IntroTenant_MediumShading1-Accent4">
    <w:name w:val="IntroTenant_Medium Shading 1 Accent 4"/>
    <w:basedOn w:val="IntroTenant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IntroTenant_MediumShading1-Accent5">
    <w:name w:val="IntroTenant_Medium Shading 1 Accent 5"/>
    <w:basedOn w:val="IntroTenant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IntroTenant_MediumShading1-Accent6">
    <w:name w:val="IntroTenant_Medium Shading 1 Accent 6"/>
    <w:basedOn w:val="IntroTenant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IntroTenant_MediumShading2">
    <w:name w:val="IntroTenant_Medium Shading 2"/>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Shading2-Accent1">
    <w:name w:val="IntroTenant_Medium Shading 2 Accent 1"/>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Shading2-Accent2">
    <w:name w:val="IntroTenant_Medium Shading 2 Accent 2"/>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Shading2-Accent3">
    <w:name w:val="IntroTenant_Medium Shading 2 Accent 3"/>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Shading2-Accent4">
    <w:name w:val="IntroTenant_Medium Shading 2 Accent 4"/>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Shading2-Accent5">
    <w:name w:val="IntroTenant_Medium Shading 2 Accent 5"/>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Shading2-Accent6">
    <w:name w:val="IntroTenant_Medium Shading 2 Accent 6"/>
    <w:basedOn w:val="IntroTena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IntroTenant_MediumList1">
    <w:name w:val="IntroTenant_Medium List 1"/>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IntroTenant_MediumList1-Accent1">
    <w:name w:val="IntroTenant_Medium List 1 Accent 1"/>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IntroTenant_MediumList1-Accent2">
    <w:name w:val="IntroTenant_Medium List 1 Accent 2"/>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IntroTenant_MediumList1-Accent3">
    <w:name w:val="IntroTenant_Medium List 1 Accent 3"/>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IntroTenant_MediumList1-Accent4">
    <w:name w:val="IntroTenant_Medium List 1 Accent 4"/>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IntroTenant_MediumList1-Accent5">
    <w:name w:val="IntroTenant_Medium List 1 Accent 5"/>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IntroTenant_MediumList1-Accent6">
    <w:name w:val="IntroTenant_Medium List 1 Accent 6"/>
    <w:basedOn w:val="IntroTenant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IntroTenant_MediumList2">
    <w:name w:val="IntroTenant_Medium List 2"/>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List2-Accent1">
    <w:name w:val="IntroTenant_Medium List 2 Accent 1"/>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List2-Accent2">
    <w:name w:val="IntroTenant_Medium List 2 Accent 2"/>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List2-Accent3">
    <w:name w:val="IntroTenant_Medium List 2 Accent 3"/>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List2-Accent4">
    <w:name w:val="IntroTenant_Medium List 2 Accent 4"/>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List2-Accent5">
    <w:name w:val="IntroTenant_Medium List 2 Accent 5"/>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List2-Accent6">
    <w:name w:val="IntroTenant_Medium List 2 Accent 6"/>
    <w:basedOn w:val="IntroTena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IntroTenant_MediumGrid1">
    <w:name w:val="IntroTenant_Medium Grid 1"/>
    <w:basedOn w:val="IntroTenant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IntroTenant_MediumGrid1-Accent1">
    <w:name w:val="IntroTenant_Medium Grid 1 Accent 1"/>
    <w:basedOn w:val="IntroTenant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IntroTenant_MediumGrid1-Accent2">
    <w:name w:val="IntroTenant_Medium Grid 1 Accent 2"/>
    <w:basedOn w:val="IntroTenant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IntroTenant_MediumGrid1-Accent3">
    <w:name w:val="IntroTenant_Medium Grid 1 Accent 3"/>
    <w:basedOn w:val="IntroTenant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IntroTenant_MediumGrid1-Accent4">
    <w:name w:val="IntroTenant_Medium Grid 1 Accent 4"/>
    <w:basedOn w:val="IntroTenant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IntroTenant_MediumGrid1-Accent5">
    <w:name w:val="IntroTenant_Medium Grid 1 Accent 5"/>
    <w:basedOn w:val="IntroTenant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IntroTenant_MediumGrid1-Accent6">
    <w:name w:val="IntroTenant_Medium Grid 1 Accent 6"/>
    <w:basedOn w:val="IntroTenant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IntroTenant_MediumGrid2">
    <w:name w:val="IntroTenant_Medium Grid 2"/>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IntroTenant_MediumGrid2-Accent1">
    <w:name w:val="IntroTenant_Medium Grid 2 Accent 1"/>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IntroTenant_MediumGrid2-Accent2">
    <w:name w:val="IntroTenant_Medium Grid 2 Accent 2"/>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IntroTenant_MediumGrid2-Accent3">
    <w:name w:val="IntroTenant_Medium Grid 2 Accent 3"/>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IntroTenant_MediumGrid2-Accent4">
    <w:name w:val="IntroTenant_Medium Grid 2 Accent 4"/>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IntroTenant_MediumGrid2-Accent5">
    <w:name w:val="IntroTenant_Medium Grid 2 Accent 5"/>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IntroTenant_MediumGrid2-Accent6">
    <w:name w:val="IntroTenant_Medium Grid 2 Accent 6"/>
    <w:basedOn w:val="IntroTena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IntroTenant_MediumGrid3">
    <w:name w:val="IntroTenant_Medium Grid 3"/>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IntroTenant_MediumGrid3-Accent1">
    <w:name w:val="IntroTenant_Medium Grid 3 Accent 1"/>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IntroTenant_MediumGrid3-Accent2">
    <w:name w:val="IntroTenant_Medium Grid 3 Accent 2"/>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IntroTenant_MediumGrid3-Accent3">
    <w:name w:val="IntroTenant_Medium Grid 3 Accent 3"/>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IntroTenant_MediumGrid3-Accent4">
    <w:name w:val="IntroTenant_Medium Grid 3 Accent 4"/>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IntroTenant_MediumGrid3-Accent5">
    <w:name w:val="IntroTenant_Medium Grid 3 Accent 5"/>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IntroTenant_MediumGrid3-Accent6">
    <w:name w:val="IntroTenant_Medium Grid 3 Accent 6"/>
    <w:basedOn w:val="IntroTena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IntroTenant_DarkList">
    <w:name w:val="IntroTenant_Dark List"/>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IntroTenant_DarkList-Accent1">
    <w:name w:val="IntroTenant_Dark List Accent 1"/>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IntroTenant_DarkList-Accent2">
    <w:name w:val="IntroTenant_Dark List Accent 2"/>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IntroTenant_DarkList-Accent3">
    <w:name w:val="IntroTenant_Dark List Accent 3"/>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IntroTenant_DarkList-Accent4">
    <w:name w:val="IntroTenant_Dark List Accent 4"/>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IntroTenant_DarkList-Accent5">
    <w:name w:val="IntroTenant_Dark List Accent 5"/>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IntroTenant_DarkList-Accent6">
    <w:name w:val="IntroTenant_Dark List Accent 6"/>
    <w:basedOn w:val="IntroTena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IntroTenant_ColorfulShading">
    <w:name w:val="IntroTenant_Colorful Shading"/>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IntroTenant_ColorfulShading-Accent1">
    <w:name w:val="IntroTenant_Colorful Shading Accent 1"/>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IntroTenant_ColorfulShading-Accent2">
    <w:name w:val="IntroTenant_Colorful Shading Accent 2"/>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IntroTenant_ColorfulShading-Accent3">
    <w:name w:val="IntroTenant_Colorful Shading Accent 3"/>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IntroTenant_ColorfulShading-Accent4">
    <w:name w:val="IntroTenant_Colorful Shading Accent 4"/>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IntroTenant_ColorfulShading-Accent5">
    <w:name w:val="IntroTenant_Colorful Shading Accent 5"/>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IntroTenant_ColorfulShading-Accent6">
    <w:name w:val="IntroTenant_Colorful Shading Accent 6"/>
    <w:basedOn w:val="IntroTenant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IntroTenant_ColorfulList">
    <w:name w:val="IntroTenant_Colorful List"/>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IntroTenant_ColorfulList-Accent1">
    <w:name w:val="IntroTenant_Colorful List Accent 1"/>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IntroTenant_ColorfulList-Accent2">
    <w:name w:val="IntroTenant_Colorful List Accent 2"/>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IntroTenant_ColorfulList-Accent3">
    <w:name w:val="IntroTenant_Colorful List Accent 3"/>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IntroTenant_ColorfulList-Accent4">
    <w:name w:val="IntroTenant_Colorful List Accent 4"/>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IntroTenant_ColorfulList-Accent5">
    <w:name w:val="IntroTenant_Colorful List Accent 5"/>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IntroTenant_ColorfulList-Accent6">
    <w:name w:val="IntroTenant_Colorful List Accent 6"/>
    <w:basedOn w:val="IntroTena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IntroTenant_ColorfulGrid">
    <w:name w:val="IntroTenant_Colorful Grid"/>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IntroTenant_ColorfulGrid-Accent1">
    <w:name w:val="IntroTenant_Colorful Grid Accent 1"/>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IntroTenant_ColorfulGrid-Accent2">
    <w:name w:val="IntroTenant_Colorful Grid Accent 2"/>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IntroTenant_ColorfulGrid-Accent3">
    <w:name w:val="IntroTenant_Colorful Grid Accent 3"/>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IntroTenant_ColorfulGrid-Accent4">
    <w:name w:val="IntroTenant_Colorful Grid Accent 4"/>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IntroTenant_ColorfulGrid-Accent5">
    <w:name w:val="IntroTenant_Colorful Grid Accent 5"/>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IntroTenant_ColorfulGrid-Accent6">
    <w:name w:val="IntroTenant_Colorful Grid Accent 6"/>
    <w:basedOn w:val="IntroTena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DevDecision_Normal">
    <w:name w:val="DevDecision_Normal"/>
    <w:qFormat/>
    <w:rsid w:val="00FC693F"/>
    <w:pPr>
      <w:spacing w:after="120"/>
    </w:pPr>
    <w:rPr>
      <w:rFonts w:ascii="Calibri" w:hAnsi="Calibri"/>
      <w:sz w:val="20"/>
    </w:rPr>
  </w:style>
  <w:style w:type="paragraph" w:styleId="DevDecision_Header">
    <w:name w:val="DevDecision_header"/>
    <w:basedOn w:val="DevDecision_Normal"/>
    <w:link w:val="DevDecision_HeaderChar"/>
    <w:uiPriority w:val="99"/>
    <w:unhideWhenUsed/>
    <w:rsid w:val="00E618BF"/>
    <w:pPr>
      <w:tabs>
        <w:tab w:val="center" w:pos="4680"/>
        <w:tab w:val="right" w:pos="9360"/>
      </w:tabs>
      <w:spacing w:after="0" w:line="240" w:lineRule="auto"/>
    </w:pPr>
  </w:style>
  <w:style w:type="character" w:customStyle="1" w:styleId="DevDecision_HeaderChar">
    <w:name w:val="DevDecision_Header Char"/>
    <w:basedOn w:val="DevDecision_DefaultParagraphFont"/>
    <w:link w:val="DevDecision_Header"/>
    <w:uiPriority w:val="99"/>
    <w:rsid w:val="00E618BF"/>
  </w:style>
  <w:style w:type="paragraph" w:styleId="DevDecision_Footer">
    <w:name w:val="DevDecision_footer"/>
    <w:basedOn w:val="DevDecision_Normal"/>
    <w:link w:val="DevDecision_FooterChar"/>
    <w:uiPriority w:val="99"/>
    <w:unhideWhenUsed/>
    <w:rsid w:val="00E618BF"/>
    <w:pPr>
      <w:tabs>
        <w:tab w:val="center" w:pos="4680"/>
        <w:tab w:val="right" w:pos="9360"/>
      </w:tabs>
      <w:spacing w:after="0" w:line="240" w:lineRule="auto"/>
    </w:pPr>
  </w:style>
  <w:style w:type="character" w:customStyle="1" w:styleId="DevDecision_FooterChar">
    <w:name w:val="DevDecision_Footer Char"/>
    <w:basedOn w:val="DevDecision_DefaultParagraphFont"/>
    <w:link w:val="DevDecision_Footer"/>
    <w:uiPriority w:val="99"/>
    <w:rsid w:val="00E618BF"/>
  </w:style>
  <w:style w:type="paragraph" w:styleId="DevDecision_Heading1">
    <w:name w:val="DevDecision_heading 1"/>
    <w:basedOn w:val="DevDecision_Normal"/>
    <w:next w:val="DevDecision_Normal"/>
    <w:link w:val="DevDecision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DevDecision_Heading2">
    <w:name w:val="DevDecision_heading 2"/>
    <w:basedOn w:val="DevDecision_Normal"/>
    <w:next w:val="DevDecision_Normal"/>
    <w:link w:val="DevDecision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DevDecision_Heading3">
    <w:name w:val="DevDecision_heading 3"/>
    <w:basedOn w:val="DevDecision_Normal"/>
    <w:next w:val="DevDecision_Normal"/>
    <w:link w:val="DevDecision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DevDecision_Heading4">
    <w:name w:val="DevDecision_heading 4"/>
    <w:basedOn w:val="DevDecision_Normal"/>
    <w:next w:val="DevDecision_Normal"/>
    <w:link w:val="DevDecision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DevDecision_Heading5">
    <w:name w:val="DevDecision_heading 5"/>
    <w:basedOn w:val="DevDecision_Normal"/>
    <w:next w:val="DevDecision_Normal"/>
    <w:link w:val="DevDecision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DevDecision_Heading6">
    <w:name w:val="DevDecision_heading 6"/>
    <w:basedOn w:val="DevDecision_Normal"/>
    <w:next w:val="DevDecision_Normal"/>
    <w:link w:val="DevDecision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DevDecision_Heading7">
    <w:name w:val="DevDecision_heading 7"/>
    <w:basedOn w:val="DevDecision_Normal"/>
    <w:next w:val="DevDecision_Normal"/>
    <w:link w:val="DevDecision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DevDecision_Heading8">
    <w:name w:val="DevDecision_heading 8"/>
    <w:basedOn w:val="DevDecision_Normal"/>
    <w:next w:val="DevDecision_Normal"/>
    <w:link w:val="DevDecision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DevDecision_Heading9">
    <w:name w:val="DevDecision_heading 9"/>
    <w:basedOn w:val="DevDecision_Normal"/>
    <w:next w:val="DevDecision_Normal"/>
    <w:link w:val="DevDecision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vDecision_DefaultParagraphFont">
    <w:name w:val="DevDecision_Default Paragraph Font"/>
    <w:uiPriority w:val="1"/>
    <w:semiHidden/>
    <w:unhideWhenUsed/>
  </w:style>
  <w:style w:type="table" w:default="1" w:styleId="DevDecision_TableNormal">
    <w:name w:val="DevDecision_Normal Table"/>
    <w:uiPriority w:val="99"/>
    <w:semiHidden/>
    <w:unhideWhenUsed/>
    <w:tblPr>
      <w:tblInd w:w="0" w:type="dxa"/>
      <w:tblCellMar>
        <w:top w:w="0" w:type="dxa"/>
        <w:left w:w="108" w:type="dxa"/>
        <w:bottom w:w="0" w:type="dxa"/>
        <w:right w:w="108" w:type="dxa"/>
      </w:tblCellMar>
    </w:tblPr>
  </w:style>
  <w:style w:type="numbering" w:default="1" w:styleId="DevDecision_NoList">
    <w:name w:val="DevDecision_No List"/>
    <w:uiPriority w:val="99"/>
    <w:semiHidden/>
    <w:unhideWhenUsed/>
  </w:style>
  <w:style w:type="paragraph" w:styleId="DevDecision_NoSpacing">
    <w:name w:val="DevDecision_No Spacing"/>
    <w:uiPriority w:val="1"/>
    <w:qFormat/>
    <w:rsid w:val="00FC693F"/>
    <w:pPr>
      <w:spacing w:after="0" w:line="240" w:lineRule="auto"/>
    </w:pPr>
  </w:style>
  <w:style w:type="character" w:customStyle="1" w:styleId="DevDecision_Heading1Char">
    <w:name w:val="DevDecision_Heading 1 Char"/>
    <w:basedOn w:val="DevDecision_DefaultParagraphFont"/>
    <w:link w:val="DevDecision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DevDecision_Heading2Char">
    <w:name w:val="DevDecision_Heading 2 Char"/>
    <w:basedOn w:val="DevDecision_DefaultParagraphFont"/>
    <w:link w:val="DevDecision_Heading2"/>
    <w:uiPriority w:val="9"/>
    <w:rsid w:val="00FC693F"/>
    <w:rPr>
      <w:rFonts w:asciiTheme="majorHAnsi" w:eastAsiaTheme="majorEastAsia" w:hAnsiTheme="majorHAnsi" w:cstheme="majorBidi"/>
      <w:b/>
      <w:bCs/>
      <w:color w:val="4F81BD" w:themeColor="accent1"/>
      <w:sz w:val="26"/>
      <w:szCs w:val="26"/>
    </w:rPr>
  </w:style>
  <w:style w:type="character" w:customStyle="1" w:styleId="DevDecision_Heading3Char">
    <w:name w:val="DevDecision_Heading 3 Char"/>
    <w:basedOn w:val="DevDecision_DefaultParagraphFont"/>
    <w:link w:val="DevDecision_Heading3"/>
    <w:uiPriority w:val="9"/>
    <w:rsid w:val="00FC693F"/>
    <w:rPr>
      <w:rFonts w:asciiTheme="majorHAnsi" w:eastAsiaTheme="majorEastAsia" w:hAnsiTheme="majorHAnsi" w:cstheme="majorBidi"/>
      <w:b/>
      <w:bCs/>
      <w:color w:val="4F81BD" w:themeColor="accent1"/>
    </w:rPr>
  </w:style>
  <w:style w:type="paragraph" w:styleId="DevDecision_Title">
    <w:name w:val="DevDecision_Title"/>
    <w:basedOn w:val="DevDecision_Normal"/>
    <w:next w:val="DevDecision_Normal"/>
    <w:link w:val="DevDecision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DevDecision_TitleChar">
    <w:name w:val="DevDecision_Title Char"/>
    <w:basedOn w:val="DevDecision_DefaultParagraphFont"/>
    <w:link w:val="DevDecision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DevDecision_Subtitle">
    <w:name w:val="DevDecision_Subtitle"/>
    <w:basedOn w:val="DevDecision_Normal"/>
    <w:next w:val="DevDecision_Normal"/>
    <w:link w:val="DevDecision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DevDecision_SubtitleChar">
    <w:name w:val="DevDecision_Subtitle Char"/>
    <w:basedOn w:val="DevDecision_DefaultParagraphFont"/>
    <w:link w:val="DevDecision_Subtitle"/>
    <w:uiPriority w:val="11"/>
    <w:rsid w:val="00FC693F"/>
    <w:rPr>
      <w:rFonts w:asciiTheme="majorHAnsi" w:eastAsiaTheme="majorEastAsia" w:hAnsiTheme="majorHAnsi" w:cstheme="majorBidi"/>
      <w:i/>
      <w:iCs/>
      <w:color w:val="4F81BD" w:themeColor="accent1"/>
      <w:spacing w:val="15"/>
      <w:sz w:val="24"/>
      <w:szCs w:val="24"/>
    </w:rPr>
  </w:style>
  <w:style w:type="paragraph" w:styleId="DevDecision_ListParagraph">
    <w:name w:val="DevDecision_List Paragraph"/>
    <w:basedOn w:val="DevDecision_Normal"/>
    <w:uiPriority w:val="34"/>
    <w:qFormat/>
    <w:rsid w:val="00FC693F"/>
    <w:pPr>
      <w:ind w:left="720"/>
      <w:contextualSpacing/>
    </w:pPr>
  </w:style>
  <w:style w:type="paragraph" w:styleId="DevDecision_BodyText">
    <w:name w:val="DevDecision_Body Text"/>
    <w:basedOn w:val="DevDecision_Normal"/>
    <w:link w:val="DevDecision_BodyTextChar"/>
    <w:uiPriority w:val="99"/>
    <w:unhideWhenUsed/>
    <w:rsid w:val="00AA1D8D"/>
    <w:pPr>
      <w:spacing w:after="120"/>
    </w:pPr>
  </w:style>
  <w:style w:type="character" w:customStyle="1" w:styleId="DevDecision_BodyTextChar">
    <w:name w:val="DevDecision_Body Text Char"/>
    <w:basedOn w:val="DevDecision_DefaultParagraphFont"/>
    <w:link w:val="DevDecision_BodyText"/>
    <w:uiPriority w:val="99"/>
    <w:rsid w:val="00AA1D8D"/>
  </w:style>
  <w:style w:type="paragraph" w:styleId="DevDecision_BodyText2">
    <w:name w:val="DevDecision_Body Text 2"/>
    <w:basedOn w:val="DevDecision_Normal"/>
    <w:link w:val="DevDecision_BodyText2Char"/>
    <w:uiPriority w:val="99"/>
    <w:unhideWhenUsed/>
    <w:rsid w:val="00AA1D8D"/>
    <w:pPr>
      <w:spacing w:after="120" w:line="480" w:lineRule="auto"/>
    </w:pPr>
  </w:style>
  <w:style w:type="character" w:customStyle="1" w:styleId="DevDecision_BodyText2Char">
    <w:name w:val="DevDecision_Body Text 2 Char"/>
    <w:basedOn w:val="DevDecision_DefaultParagraphFont"/>
    <w:link w:val="DevDecision_BodyText2"/>
    <w:uiPriority w:val="99"/>
    <w:rsid w:val="00AA1D8D"/>
  </w:style>
  <w:style w:type="paragraph" w:styleId="DevDecision_BodyText3">
    <w:name w:val="DevDecision_Body Text 3"/>
    <w:basedOn w:val="DevDecision_Normal"/>
    <w:link w:val="DevDecision_BodyText3Char"/>
    <w:uiPriority w:val="99"/>
    <w:unhideWhenUsed/>
    <w:rsid w:val="00AA1D8D"/>
    <w:pPr>
      <w:spacing w:after="120"/>
    </w:pPr>
    <w:rPr>
      <w:sz w:val="16"/>
      <w:szCs w:val="16"/>
    </w:rPr>
  </w:style>
  <w:style w:type="character" w:customStyle="1" w:styleId="DevDecision_BodyText3Char">
    <w:name w:val="DevDecision_Body Text 3 Char"/>
    <w:basedOn w:val="DevDecision_DefaultParagraphFont"/>
    <w:link w:val="DevDecision_BodyText3"/>
    <w:uiPriority w:val="99"/>
    <w:rsid w:val="00AA1D8D"/>
    <w:rPr>
      <w:sz w:val="16"/>
      <w:szCs w:val="16"/>
    </w:rPr>
  </w:style>
  <w:style w:type="paragraph" w:styleId="DevDecision_List">
    <w:name w:val="DevDecision_List"/>
    <w:basedOn w:val="DevDecision_Normal"/>
    <w:uiPriority w:val="99"/>
    <w:unhideWhenUsed/>
    <w:rsid w:val="00AA1D8D"/>
    <w:pPr>
      <w:ind w:left="360" w:hanging="360"/>
      <w:contextualSpacing/>
    </w:pPr>
  </w:style>
  <w:style w:type="paragraph" w:styleId="DevDecision_List2">
    <w:name w:val="DevDecision_List 2"/>
    <w:basedOn w:val="DevDecision_Normal"/>
    <w:uiPriority w:val="99"/>
    <w:unhideWhenUsed/>
    <w:rsid w:val="00326F90"/>
    <w:pPr>
      <w:ind w:left="720" w:hanging="360"/>
      <w:contextualSpacing/>
    </w:pPr>
  </w:style>
  <w:style w:type="paragraph" w:styleId="DevDecision_List3">
    <w:name w:val="DevDecision_List 3"/>
    <w:basedOn w:val="DevDecision_Normal"/>
    <w:uiPriority w:val="99"/>
    <w:unhideWhenUsed/>
    <w:rsid w:val="00326F90"/>
    <w:pPr>
      <w:ind w:left="1080" w:hanging="360"/>
      <w:contextualSpacing/>
    </w:pPr>
  </w:style>
  <w:style w:type="paragraph" w:styleId="DevDecision_ListBullet">
    <w:name w:val="DevDecision_List Bullet"/>
    <w:basedOn w:val="DevDecision_Normal"/>
    <w:uiPriority w:val="99"/>
    <w:unhideWhenUsed/>
    <w:rsid w:val="00326F90"/>
    <w:pPr>
      <w:numPr>
        <w:numId w:val="1"/>
      </w:numPr>
      <w:contextualSpacing/>
    </w:pPr>
  </w:style>
  <w:style w:type="paragraph" w:styleId="DevDecision_ListBullet2">
    <w:name w:val="DevDecision_List Bullet 2"/>
    <w:basedOn w:val="DevDecision_Normal"/>
    <w:uiPriority w:val="99"/>
    <w:unhideWhenUsed/>
    <w:rsid w:val="00326F90"/>
    <w:pPr>
      <w:numPr>
        <w:numId w:val="2"/>
      </w:numPr>
      <w:contextualSpacing/>
    </w:pPr>
  </w:style>
  <w:style w:type="paragraph" w:styleId="DevDecision_ListBullet3">
    <w:name w:val="DevDecision_List Bullet 3"/>
    <w:basedOn w:val="DevDecision_Normal"/>
    <w:uiPriority w:val="99"/>
    <w:unhideWhenUsed/>
    <w:rsid w:val="00326F90"/>
    <w:pPr>
      <w:numPr>
        <w:numId w:val="3"/>
      </w:numPr>
      <w:contextualSpacing/>
    </w:pPr>
  </w:style>
  <w:style w:type="paragraph" w:styleId="DevDecision_ListNumber">
    <w:name w:val="DevDecision_List Number"/>
    <w:basedOn w:val="DevDecision_Normal"/>
    <w:uiPriority w:val="99"/>
    <w:unhideWhenUsed/>
    <w:rsid w:val="00326F90"/>
    <w:pPr>
      <w:numPr>
        <w:numId w:val="5"/>
      </w:numPr>
      <w:contextualSpacing/>
    </w:pPr>
  </w:style>
  <w:style w:type="paragraph" w:styleId="DevDecision_ListNumber2">
    <w:name w:val="DevDecision_List Number 2"/>
    <w:basedOn w:val="DevDecision_Normal"/>
    <w:uiPriority w:val="99"/>
    <w:unhideWhenUsed/>
    <w:rsid w:val="0029639D"/>
    <w:pPr>
      <w:numPr>
        <w:numId w:val="6"/>
      </w:numPr>
      <w:contextualSpacing/>
    </w:pPr>
  </w:style>
  <w:style w:type="paragraph" w:styleId="DevDecision_ListNumber3">
    <w:name w:val="DevDecision_List Number 3"/>
    <w:basedOn w:val="DevDecision_Normal"/>
    <w:uiPriority w:val="99"/>
    <w:unhideWhenUsed/>
    <w:rsid w:val="0029639D"/>
    <w:pPr>
      <w:numPr>
        <w:numId w:val="7"/>
      </w:numPr>
      <w:contextualSpacing/>
    </w:pPr>
  </w:style>
  <w:style w:type="paragraph" w:styleId="DevDecision_ListContinue">
    <w:name w:val="DevDecision_List Continue"/>
    <w:basedOn w:val="DevDecision_Normal"/>
    <w:uiPriority w:val="99"/>
    <w:unhideWhenUsed/>
    <w:rsid w:val="0029639D"/>
    <w:pPr>
      <w:spacing w:after="120"/>
      <w:ind w:left="360"/>
      <w:contextualSpacing/>
    </w:pPr>
  </w:style>
  <w:style w:type="paragraph" w:styleId="DevDecision_ListContinue2">
    <w:name w:val="DevDecision_List Continue 2"/>
    <w:basedOn w:val="DevDecision_Normal"/>
    <w:uiPriority w:val="99"/>
    <w:unhideWhenUsed/>
    <w:rsid w:val="0029639D"/>
    <w:pPr>
      <w:spacing w:after="120"/>
      <w:ind w:left="720"/>
      <w:contextualSpacing/>
    </w:pPr>
  </w:style>
  <w:style w:type="paragraph" w:styleId="DevDecision_ListContinue3">
    <w:name w:val="DevDecision_List Continue 3"/>
    <w:basedOn w:val="DevDecision_Normal"/>
    <w:uiPriority w:val="99"/>
    <w:unhideWhenUsed/>
    <w:rsid w:val="0029639D"/>
    <w:pPr>
      <w:spacing w:after="120"/>
      <w:ind w:left="1080"/>
      <w:contextualSpacing/>
    </w:pPr>
  </w:style>
  <w:style w:type="paragraph" w:styleId="DevDecision_MacroText">
    <w:name w:val="DevDecision_macro"/>
    <w:link w:val="DevDecision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DevDecision_MacroTextChar">
    <w:name w:val="DevDecision_Macro Text Char"/>
    <w:basedOn w:val="DevDecision_DefaultParagraphFont"/>
    <w:link w:val="DevDecision_MacroText"/>
    <w:uiPriority w:val="99"/>
    <w:rsid w:val="0029639D"/>
    <w:rPr>
      <w:rFonts w:ascii="Courier" w:hAnsi="Courier"/>
      <w:sz w:val="20"/>
      <w:szCs w:val="20"/>
    </w:rPr>
  </w:style>
  <w:style w:type="paragraph" w:styleId="DevDecision_Quote">
    <w:name w:val="DevDecision_Quote"/>
    <w:basedOn w:val="DevDecision_Normal"/>
    <w:next w:val="DevDecision_Normal"/>
    <w:link w:val="DevDecision_QuoteChar"/>
    <w:uiPriority w:val="29"/>
    <w:qFormat/>
    <w:rsid w:val="00FC693F"/>
    <w:rPr>
      <w:i/>
      <w:iCs/>
      <w:color w:val="000000" w:themeColor="text1"/>
    </w:rPr>
  </w:style>
  <w:style w:type="character" w:customStyle="1" w:styleId="DevDecision_QuoteChar">
    <w:name w:val="DevDecision_Quote Char"/>
    <w:basedOn w:val="DevDecision_DefaultParagraphFont"/>
    <w:link w:val="DevDecision_Quote"/>
    <w:uiPriority w:val="29"/>
    <w:rsid w:val="00FC693F"/>
    <w:rPr>
      <w:i/>
      <w:iCs/>
      <w:color w:val="000000" w:themeColor="text1"/>
    </w:rPr>
  </w:style>
  <w:style w:type="character" w:customStyle="1" w:styleId="DevDecision_Heading4Char">
    <w:name w:val="DevDecision_Heading 4 Char"/>
    <w:basedOn w:val="DevDecision_DefaultParagraphFont"/>
    <w:link w:val="DevDecision_Heading4"/>
    <w:uiPriority w:val="9"/>
    <w:semiHidden/>
    <w:rsid w:val="00FC693F"/>
    <w:rPr>
      <w:rFonts w:asciiTheme="majorHAnsi" w:eastAsiaTheme="majorEastAsia" w:hAnsiTheme="majorHAnsi" w:cstheme="majorBidi"/>
      <w:b/>
      <w:bCs/>
      <w:i/>
      <w:iCs/>
      <w:color w:val="4F81BD" w:themeColor="accent1"/>
    </w:rPr>
  </w:style>
  <w:style w:type="character" w:customStyle="1" w:styleId="DevDecision_Heading5Char">
    <w:name w:val="DevDecision_Heading 5 Char"/>
    <w:basedOn w:val="DevDecision_DefaultParagraphFont"/>
    <w:link w:val="DevDecision_Heading5"/>
    <w:uiPriority w:val="9"/>
    <w:semiHidden/>
    <w:rsid w:val="00FC693F"/>
    <w:rPr>
      <w:rFonts w:asciiTheme="majorHAnsi" w:eastAsiaTheme="majorEastAsia" w:hAnsiTheme="majorHAnsi" w:cstheme="majorBidi"/>
      <w:color w:val="243F60" w:themeColor="accent1" w:themeShade="7F"/>
    </w:rPr>
  </w:style>
  <w:style w:type="character" w:customStyle="1" w:styleId="DevDecision_Heading6Char">
    <w:name w:val="DevDecision_Heading 6 Char"/>
    <w:basedOn w:val="DevDecision_DefaultParagraphFont"/>
    <w:link w:val="DevDecision_Heading6"/>
    <w:uiPriority w:val="9"/>
    <w:semiHidden/>
    <w:rsid w:val="00FC693F"/>
    <w:rPr>
      <w:rFonts w:asciiTheme="majorHAnsi" w:eastAsiaTheme="majorEastAsia" w:hAnsiTheme="majorHAnsi" w:cstheme="majorBidi"/>
      <w:i/>
      <w:iCs/>
      <w:color w:val="243F60" w:themeColor="accent1" w:themeShade="7F"/>
    </w:rPr>
  </w:style>
  <w:style w:type="character" w:customStyle="1" w:styleId="DevDecision_Heading7Char">
    <w:name w:val="DevDecision_Heading 7 Char"/>
    <w:basedOn w:val="DevDecision_DefaultParagraphFont"/>
    <w:link w:val="DevDecision_Heading7"/>
    <w:uiPriority w:val="9"/>
    <w:semiHidden/>
    <w:rsid w:val="00FC693F"/>
    <w:rPr>
      <w:rFonts w:asciiTheme="majorHAnsi" w:eastAsiaTheme="majorEastAsia" w:hAnsiTheme="majorHAnsi" w:cstheme="majorBidi"/>
      <w:i/>
      <w:iCs/>
      <w:color w:val="404040" w:themeColor="text1" w:themeTint="BF"/>
    </w:rPr>
  </w:style>
  <w:style w:type="character" w:customStyle="1" w:styleId="DevDecision_Heading8Char">
    <w:name w:val="DevDecision_Heading 8 Char"/>
    <w:basedOn w:val="DevDecision_DefaultParagraphFont"/>
    <w:link w:val="DevDecision_Heading8"/>
    <w:uiPriority w:val="9"/>
    <w:semiHidden/>
    <w:rsid w:val="00FC693F"/>
    <w:rPr>
      <w:rFonts w:asciiTheme="majorHAnsi" w:eastAsiaTheme="majorEastAsia" w:hAnsiTheme="majorHAnsi" w:cstheme="majorBidi"/>
      <w:color w:val="4F81BD" w:themeColor="accent1"/>
      <w:sz w:val="20"/>
      <w:szCs w:val="20"/>
    </w:rPr>
  </w:style>
  <w:style w:type="character" w:customStyle="1" w:styleId="DevDecision_Heading9Char">
    <w:name w:val="DevDecision_Heading 9 Char"/>
    <w:basedOn w:val="DevDecision_DefaultParagraphFont"/>
    <w:link w:val="DevDecision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DevDecision_Caption">
    <w:name w:val="DevDecision_caption"/>
    <w:basedOn w:val="DevDecision_Normal"/>
    <w:next w:val="DevDecision_Normal"/>
    <w:uiPriority w:val="35"/>
    <w:semiHidden/>
    <w:unhideWhenUsed/>
    <w:qFormat/>
    <w:rsid w:val="00FC693F"/>
    <w:pPr>
      <w:spacing w:line="240" w:lineRule="auto"/>
    </w:pPr>
    <w:rPr>
      <w:b/>
      <w:bCs/>
      <w:color w:val="4F81BD" w:themeColor="accent1"/>
      <w:sz w:val="18"/>
      <w:szCs w:val="18"/>
    </w:rPr>
  </w:style>
  <w:style w:type="character" w:styleId="DevDecision_Strong">
    <w:name w:val="DevDecision_Strong"/>
    <w:basedOn w:val="DevDecision_DefaultParagraphFont"/>
    <w:uiPriority w:val="22"/>
    <w:qFormat/>
    <w:rsid w:val="00FC693F"/>
    <w:rPr>
      <w:b/>
      <w:bCs/>
    </w:rPr>
  </w:style>
  <w:style w:type="character" w:styleId="DevDecision_Emphasis">
    <w:name w:val="DevDecision_Emphasis"/>
    <w:basedOn w:val="DevDecision_DefaultParagraphFont"/>
    <w:uiPriority w:val="20"/>
    <w:qFormat/>
    <w:rsid w:val="00FC693F"/>
    <w:rPr>
      <w:i/>
      <w:iCs/>
    </w:rPr>
  </w:style>
  <w:style w:type="paragraph" w:styleId="DevDecision_IntenseQuote">
    <w:name w:val="DevDecision_Intense Quote"/>
    <w:basedOn w:val="DevDecision_Normal"/>
    <w:next w:val="DevDecision_Normal"/>
    <w:link w:val="DevDecision_IntenseQuoteChar"/>
    <w:uiPriority w:val="30"/>
    <w:qFormat/>
    <w:rsid w:val="00FC693F"/>
    <w:pPr>
      <w:spacing w:before="200" w:after="280"/>
      <w:ind w:left="936" w:right="936"/>
    </w:pPr>
    <w:rPr>
      <w:b/>
      <w:bCs/>
      <w:i/>
      <w:iCs/>
      <w:color w:val="4F81BD" w:themeColor="accent1"/>
    </w:rPr>
  </w:style>
  <w:style w:type="character" w:customStyle="1" w:styleId="DevDecision_IntenseQuoteChar">
    <w:name w:val="DevDecision_Intense Quote Char"/>
    <w:basedOn w:val="DevDecision_DefaultParagraphFont"/>
    <w:link w:val="DevDecision_IntenseQuote"/>
    <w:uiPriority w:val="30"/>
    <w:rsid w:val="00FC693F"/>
    <w:rPr>
      <w:b/>
      <w:bCs/>
      <w:i/>
      <w:iCs/>
      <w:color w:val="4F81BD" w:themeColor="accent1"/>
    </w:rPr>
  </w:style>
  <w:style w:type="character" w:styleId="DevDecision_SubtleEmphasis">
    <w:name w:val="DevDecision_Subtle Emphasis"/>
    <w:basedOn w:val="DevDecision_DefaultParagraphFont"/>
    <w:uiPriority w:val="19"/>
    <w:qFormat/>
    <w:rsid w:val="00FC693F"/>
    <w:rPr>
      <w:i/>
      <w:iCs/>
      <w:color w:val="808080" w:themeColor="text1" w:themeTint="7F"/>
    </w:rPr>
  </w:style>
  <w:style w:type="character" w:styleId="DevDecision_IntenseEmphasis">
    <w:name w:val="DevDecision_Intense Emphasis"/>
    <w:basedOn w:val="DevDecision_DefaultParagraphFont"/>
    <w:uiPriority w:val="21"/>
    <w:qFormat/>
    <w:rsid w:val="00FC693F"/>
    <w:rPr>
      <w:b/>
      <w:bCs/>
      <w:i/>
      <w:iCs/>
      <w:color w:val="4F81BD" w:themeColor="accent1"/>
    </w:rPr>
  </w:style>
  <w:style w:type="character" w:styleId="DevDecision_SubtleReference">
    <w:name w:val="DevDecision_Subtle Reference"/>
    <w:basedOn w:val="DevDecision_DefaultParagraphFont"/>
    <w:uiPriority w:val="31"/>
    <w:qFormat/>
    <w:rsid w:val="00FC693F"/>
    <w:rPr>
      <w:smallCaps/>
      <w:color w:val="C0504D" w:themeColor="accent2"/>
      <w:u w:val="single"/>
    </w:rPr>
  </w:style>
  <w:style w:type="character" w:styleId="DevDecision_IntenseReference">
    <w:name w:val="DevDecision_Intense Reference"/>
    <w:basedOn w:val="DevDecision_DefaultParagraphFont"/>
    <w:uiPriority w:val="32"/>
    <w:qFormat/>
    <w:rsid w:val="00FC693F"/>
    <w:rPr>
      <w:b/>
      <w:bCs/>
      <w:smallCaps/>
      <w:color w:val="C0504D" w:themeColor="accent2"/>
      <w:spacing w:val="5"/>
      <w:u w:val="single"/>
    </w:rPr>
  </w:style>
  <w:style w:type="character" w:styleId="DevDecision_BookTitle">
    <w:name w:val="DevDecision_Book Title"/>
    <w:basedOn w:val="DevDecision_DefaultParagraphFont"/>
    <w:uiPriority w:val="33"/>
    <w:qFormat/>
    <w:rsid w:val="00FC693F"/>
    <w:rPr>
      <w:b/>
      <w:bCs/>
      <w:smallCaps/>
      <w:spacing w:val="5"/>
    </w:rPr>
  </w:style>
  <w:style w:type="paragraph" w:styleId="DevDecision_TOCHeading">
    <w:name w:val="DevDecision_TOC Heading"/>
    <w:basedOn w:val="DevDecision_Heading1"/>
    <w:next w:val="DevDecision_Normal"/>
    <w:uiPriority w:val="39"/>
    <w:semiHidden/>
    <w:unhideWhenUsed/>
    <w:qFormat/>
    <w:rsid w:val="00FC693F"/>
    <w:pPr>
      <w:outlineLvl w:val="9"/>
    </w:pPr>
  </w:style>
  <w:style w:type="table" w:styleId="DevDecision_TableGrid">
    <w:name w:val="DevDecision_Table Grid"/>
    <w:basedOn w:val="DevDecision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DevDecision_LightShading">
    <w:name w:val="DevDecision_Light Shading"/>
    <w:basedOn w:val="DevDecision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DevDecision_LightShading-Accent1">
    <w:name w:val="DevDecision_Light Shading Accent 1"/>
    <w:basedOn w:val="DevDecision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DevDecision_LightShading-Accent2">
    <w:name w:val="DevDecision_Light Shading Accent 2"/>
    <w:basedOn w:val="DevDecision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DevDecision_LightShading-Accent3">
    <w:name w:val="DevDecision_Light Shading Accent 3"/>
    <w:basedOn w:val="DevDecision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DevDecision_LightShading-Accent4">
    <w:name w:val="DevDecision_Light Shading Accent 4"/>
    <w:basedOn w:val="DevDecision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DevDecision_LightShading-Accent5">
    <w:name w:val="DevDecision_Light Shading Accent 5"/>
    <w:basedOn w:val="DevDecision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DevDecision_LightShading-Accent6">
    <w:name w:val="DevDecision_Light Shading Accent 6"/>
    <w:basedOn w:val="DevDecision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evDecision_LightList">
    <w:name w:val="DevDecision_Light List"/>
    <w:basedOn w:val="DevDecision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evDecision_LightList-Accent1">
    <w:name w:val="DevDecision_Light List Accent 1"/>
    <w:basedOn w:val="DevDecision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evDecision_LightList-Accent2">
    <w:name w:val="DevDecision_Light List Accent 2"/>
    <w:basedOn w:val="DevDecision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evDecision_LightList-Accent3">
    <w:name w:val="DevDecision_Light List Accent 3"/>
    <w:basedOn w:val="DevDecision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evDecision_LightList-Accent4">
    <w:name w:val="DevDecision_Light List Accent 4"/>
    <w:basedOn w:val="DevDecision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evDecision_LightList-Accent5">
    <w:name w:val="DevDecision_Light List Accent 5"/>
    <w:basedOn w:val="DevDecision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evDecision_LightList-Accent6">
    <w:name w:val="DevDecision_Light List Accent 6"/>
    <w:basedOn w:val="DevDecision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DevDecision_LightGrid">
    <w:name w:val="DevDecision_Light Grid"/>
    <w:basedOn w:val="DevDecision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DevDecision_LightGrid-Accent1">
    <w:name w:val="DevDecision_Light Grid Accent 1"/>
    <w:basedOn w:val="DevDecision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DevDecision_LightGrid-Accent2">
    <w:name w:val="DevDecision_Light Grid Accent 2"/>
    <w:basedOn w:val="DevDecision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DevDecision_LightGrid-Accent3">
    <w:name w:val="DevDecision_Light Grid Accent 3"/>
    <w:basedOn w:val="DevDecision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DevDecision_LightGrid-Accent4">
    <w:name w:val="DevDecision_Light Grid Accent 4"/>
    <w:basedOn w:val="DevDecision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DevDecision_LightGrid-Accent5">
    <w:name w:val="DevDecision_Light Grid Accent 5"/>
    <w:basedOn w:val="DevDecision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DevDecision_LightGrid-Accent6">
    <w:name w:val="DevDecision_Light Grid Accent 6"/>
    <w:basedOn w:val="DevDecision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DevDecision_MediumShading1">
    <w:name w:val="DevDecision_Medium Shading 1"/>
    <w:basedOn w:val="DevDecision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DevDecision_MediumShading1-Accent1">
    <w:name w:val="DevDecision_Medium Shading 1 Accent 1"/>
    <w:basedOn w:val="DevDecision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DevDecision_MediumShading1-Accent2">
    <w:name w:val="DevDecision_Medium Shading 1 Accent 2"/>
    <w:basedOn w:val="DevDecision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DevDecision_MediumShading1-Accent3">
    <w:name w:val="DevDecision_Medium Shading 1 Accent 3"/>
    <w:basedOn w:val="DevDecision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DevDecision_MediumShading1-Accent4">
    <w:name w:val="DevDecision_Medium Shading 1 Accent 4"/>
    <w:basedOn w:val="DevDecision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DevDecision_MediumShading1-Accent5">
    <w:name w:val="DevDecision_Medium Shading 1 Accent 5"/>
    <w:basedOn w:val="DevDecision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DevDecision_MediumShading1-Accent6">
    <w:name w:val="DevDecision_Medium Shading 1 Accent 6"/>
    <w:basedOn w:val="DevDecision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DevDecision_MediumShading2">
    <w:name w:val="DevDecision_Medium Shading 2"/>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Shading2-Accent1">
    <w:name w:val="DevDecision_Medium Shading 2 Accent 1"/>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Shading2-Accent2">
    <w:name w:val="DevDecision_Medium Shading 2 Accent 2"/>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Shading2-Accent3">
    <w:name w:val="DevDecision_Medium Shading 2 Accent 3"/>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Shading2-Accent4">
    <w:name w:val="DevDecision_Medium Shading 2 Accent 4"/>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Shading2-Accent5">
    <w:name w:val="DevDecision_Medium Shading 2 Accent 5"/>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Shading2-Accent6">
    <w:name w:val="DevDecision_Medium Shading 2 Accent 6"/>
    <w:basedOn w:val="DevDecision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evDecision_MediumList1">
    <w:name w:val="DevDecision_Medium List 1"/>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evDecision_MediumList1-Accent1">
    <w:name w:val="DevDecision_Medium List 1 Accent 1"/>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evDecision_MediumList1-Accent2">
    <w:name w:val="DevDecision_Medium List 1 Accent 2"/>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evDecision_MediumList1-Accent3">
    <w:name w:val="DevDecision_Medium List 1 Accent 3"/>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evDecision_MediumList1-Accent4">
    <w:name w:val="DevDecision_Medium List 1 Accent 4"/>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evDecision_MediumList1-Accent5">
    <w:name w:val="DevDecision_Medium List 1 Accent 5"/>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evDecision_MediumList1-Accent6">
    <w:name w:val="DevDecision_Medium List 1 Accent 6"/>
    <w:basedOn w:val="DevDecision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evDecision_MediumList2">
    <w:name w:val="DevDecision_Medium List 2"/>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List2-Accent1">
    <w:name w:val="DevDecision_Medium List 2 Accent 1"/>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List2-Accent2">
    <w:name w:val="DevDecision_Medium List 2 Accent 2"/>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List2-Accent3">
    <w:name w:val="DevDecision_Medium List 2 Accent 3"/>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List2-Accent4">
    <w:name w:val="DevDecision_Medium List 2 Accent 4"/>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List2-Accent5">
    <w:name w:val="DevDecision_Medium List 2 Accent 5"/>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List2-Accent6">
    <w:name w:val="DevDecision_Medium List 2 Accent 6"/>
    <w:basedOn w:val="DevDecision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evDecision_MediumGrid1">
    <w:name w:val="DevDecision_Medium Grid 1"/>
    <w:basedOn w:val="DevDecision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DevDecision_MediumGrid1-Accent1">
    <w:name w:val="DevDecision_Medium Grid 1 Accent 1"/>
    <w:basedOn w:val="DevDecision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DevDecision_MediumGrid1-Accent2">
    <w:name w:val="DevDecision_Medium Grid 1 Accent 2"/>
    <w:basedOn w:val="DevDecision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DevDecision_MediumGrid1-Accent3">
    <w:name w:val="DevDecision_Medium Grid 1 Accent 3"/>
    <w:basedOn w:val="DevDecision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DevDecision_MediumGrid1-Accent4">
    <w:name w:val="DevDecision_Medium Grid 1 Accent 4"/>
    <w:basedOn w:val="DevDecision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DevDecision_MediumGrid1-Accent5">
    <w:name w:val="DevDecision_Medium Grid 1 Accent 5"/>
    <w:basedOn w:val="DevDecision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DevDecision_MediumGrid1-Accent6">
    <w:name w:val="DevDecision_Medium Grid 1 Accent 6"/>
    <w:basedOn w:val="DevDecision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evDecision_MediumGrid2">
    <w:name w:val="DevDecision_Medium Grid 2"/>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DevDecision_MediumGrid2-Accent1">
    <w:name w:val="DevDecision_Medium Grid 2 Accent 1"/>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DevDecision_MediumGrid2-Accent2">
    <w:name w:val="DevDecision_Medium Grid 2 Accent 2"/>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DevDecision_MediumGrid2-Accent3">
    <w:name w:val="DevDecision_Medium Grid 2 Accent 3"/>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DevDecision_MediumGrid2-Accent4">
    <w:name w:val="DevDecision_Medium Grid 2 Accent 4"/>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DevDecision_MediumGrid2-Accent5">
    <w:name w:val="DevDecision_Medium Grid 2 Accent 5"/>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DevDecision_MediumGrid2-Accent6">
    <w:name w:val="DevDecision_Medium Grid 2 Accent 6"/>
    <w:basedOn w:val="DevDecision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DevDecision_MediumGrid3">
    <w:name w:val="DevDecision_Medium Grid 3"/>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evDecision_MediumGrid3-Accent1">
    <w:name w:val="DevDecision_Medium Grid 3 Accent 1"/>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DevDecision_MediumGrid3-Accent2">
    <w:name w:val="DevDecision_Medium Grid 3 Accent 2"/>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DevDecision_MediumGrid3-Accent3">
    <w:name w:val="DevDecision_Medium Grid 3 Accent 3"/>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DevDecision_MediumGrid3-Accent4">
    <w:name w:val="DevDecision_Medium Grid 3 Accent 4"/>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DevDecision_MediumGrid3-Accent5">
    <w:name w:val="DevDecision_Medium Grid 3 Accent 5"/>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DevDecision_MediumGrid3-Accent6">
    <w:name w:val="DevDecision_Medium Grid 3 Accent 6"/>
    <w:basedOn w:val="DevDecision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evDecision_DarkList">
    <w:name w:val="DevDecision_Dark List"/>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evDecision_DarkList-Accent1">
    <w:name w:val="DevDecision_Dark List Accent 1"/>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evDecision_DarkList-Accent2">
    <w:name w:val="DevDecision_Dark List Accent 2"/>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evDecision_DarkList-Accent3">
    <w:name w:val="DevDecision_Dark List Accent 3"/>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evDecision_DarkList-Accent4">
    <w:name w:val="DevDecision_Dark List Accent 4"/>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evDecision_DarkList-Accent5">
    <w:name w:val="DevDecision_Dark List Accent 5"/>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evDecision_DarkList-Accent6">
    <w:name w:val="DevDecision_Dark List Accent 6"/>
    <w:basedOn w:val="DevDecision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DevDecision_ColorfulShading">
    <w:name w:val="DevDecision_Colorful Shading"/>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evDecision_ColorfulShading-Accent1">
    <w:name w:val="DevDecision_Colorful Shading Accent 1"/>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DevDecision_ColorfulShading-Accent2">
    <w:name w:val="DevDecision_Colorful Shading Accent 2"/>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DevDecision_ColorfulShading-Accent3">
    <w:name w:val="DevDecision_Colorful Shading Accent 3"/>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DevDecision_ColorfulShading-Accent4">
    <w:name w:val="DevDecision_Colorful Shading Accent 4"/>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DevDecision_ColorfulShading-Accent5">
    <w:name w:val="DevDecision_Colorful Shading Accent 5"/>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DevDecision_ColorfulShading-Accent6">
    <w:name w:val="DevDecision_Colorful Shading Accent 6"/>
    <w:basedOn w:val="DevDecision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evDecision_ColorfulList">
    <w:name w:val="DevDecision_Colorful List"/>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evDecision_ColorfulList-Accent1">
    <w:name w:val="DevDecision_Colorful List Accent 1"/>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evDecision_ColorfulList-Accent2">
    <w:name w:val="DevDecision_Colorful List Accent 2"/>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evDecision_ColorfulList-Accent3">
    <w:name w:val="DevDecision_Colorful List Accent 3"/>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evDecision_ColorfulList-Accent4">
    <w:name w:val="DevDecision_Colorful List Accent 4"/>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evDecision_ColorfulList-Accent5">
    <w:name w:val="DevDecision_Colorful List Accent 5"/>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evDecision_ColorfulList-Accent6">
    <w:name w:val="DevDecision_Colorful List Accent 6"/>
    <w:basedOn w:val="DevDecision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DevDecision_ColorfulGrid">
    <w:name w:val="DevDecision_Colorful Grid"/>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DevDecision_ColorfulGrid-Accent1">
    <w:name w:val="DevDecision_Colorful Grid Accent 1"/>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DevDecision_ColorfulGrid-Accent2">
    <w:name w:val="DevDecision_Colorful Grid Accent 2"/>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DevDecision_ColorfulGrid-Accent3">
    <w:name w:val="DevDecision_Colorful Grid Accent 3"/>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DevDecision_ColorfulGrid-Accent4">
    <w:name w:val="DevDecision_Colorful Grid Accent 4"/>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DevDecision_ColorfulGrid-Accent5">
    <w:name w:val="DevDecision_Colorful Grid Accent 5"/>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DevDecision_ColorfulGrid-Accent6">
    <w:name w:val="DevDecision_Colorful Grid Accent 6"/>
    <w:basedOn w:val="DevDecision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QHead_Normal">
    <w:name w:val="QHead_Normal"/>
    <w:qFormat/>
    <w:rsid w:val="00FC693F"/>
    <w:pPr>
      <w:spacing w:after="120"/>
    </w:pPr>
    <w:rPr>
      <w:rFonts w:ascii="Calibri" w:hAnsi="Calibri"/>
      <w:sz w:val="20"/>
    </w:rPr>
  </w:style>
  <w:style w:type="paragraph" w:styleId="QHead_Header">
    <w:name w:val="QHead_header"/>
    <w:basedOn w:val="QHead_Normal"/>
    <w:link w:val="QHead_HeaderChar"/>
    <w:uiPriority w:val="99"/>
    <w:unhideWhenUsed/>
    <w:rsid w:val="00E618BF"/>
    <w:pPr>
      <w:tabs>
        <w:tab w:val="center" w:pos="4680"/>
        <w:tab w:val="right" w:pos="9360"/>
      </w:tabs>
      <w:spacing w:after="0" w:line="240" w:lineRule="auto"/>
    </w:pPr>
  </w:style>
  <w:style w:type="character" w:customStyle="1" w:styleId="QHead_HeaderChar">
    <w:name w:val="QHead_Header Char"/>
    <w:basedOn w:val="QHead_DefaultParagraphFont"/>
    <w:link w:val="QHead_Header"/>
    <w:uiPriority w:val="99"/>
    <w:rsid w:val="00E618BF"/>
  </w:style>
  <w:style w:type="paragraph" w:styleId="QHead_Footer">
    <w:name w:val="QHead_footer"/>
    <w:basedOn w:val="QHead_Normal"/>
    <w:link w:val="QHead_FooterChar"/>
    <w:uiPriority w:val="99"/>
    <w:unhideWhenUsed/>
    <w:rsid w:val="00E618BF"/>
    <w:pPr>
      <w:tabs>
        <w:tab w:val="center" w:pos="4680"/>
        <w:tab w:val="right" w:pos="9360"/>
      </w:tabs>
      <w:spacing w:after="0" w:line="240" w:lineRule="auto"/>
    </w:pPr>
  </w:style>
  <w:style w:type="character" w:customStyle="1" w:styleId="QHead_FooterChar">
    <w:name w:val="QHead_Footer Char"/>
    <w:basedOn w:val="QHead_DefaultParagraphFont"/>
    <w:link w:val="QHead_Footer"/>
    <w:uiPriority w:val="99"/>
    <w:rsid w:val="00E618BF"/>
  </w:style>
  <w:style w:type="paragraph" w:styleId="QHead_Heading1">
    <w:name w:val="QHead_heading 1"/>
    <w:basedOn w:val="QHead_Normal"/>
    <w:next w:val="QHead_Normal"/>
    <w:link w:val="QHead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QHead_Heading2">
    <w:name w:val="QHead_heading 2"/>
    <w:basedOn w:val="QHead_Normal"/>
    <w:next w:val="QHead_Normal"/>
    <w:link w:val="QHead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QHead_Heading3">
    <w:name w:val="QHead_heading 3"/>
    <w:basedOn w:val="QHead_Normal"/>
    <w:next w:val="QHead_Normal"/>
    <w:link w:val="QHead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QHead_Heading4">
    <w:name w:val="QHead_heading 4"/>
    <w:basedOn w:val="QHead_Normal"/>
    <w:next w:val="QHead_Normal"/>
    <w:link w:val="QHead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QHead_Heading5">
    <w:name w:val="QHead_heading 5"/>
    <w:basedOn w:val="QHead_Normal"/>
    <w:next w:val="QHead_Normal"/>
    <w:link w:val="QHead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QHead_Heading6">
    <w:name w:val="QHead_heading 6"/>
    <w:basedOn w:val="QHead_Normal"/>
    <w:next w:val="QHead_Normal"/>
    <w:link w:val="QHead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QHead_Heading7">
    <w:name w:val="QHead_heading 7"/>
    <w:basedOn w:val="QHead_Normal"/>
    <w:next w:val="QHead_Normal"/>
    <w:link w:val="QHead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QHead_Heading8">
    <w:name w:val="QHead_heading 8"/>
    <w:basedOn w:val="QHead_Normal"/>
    <w:next w:val="QHead_Normal"/>
    <w:link w:val="QHead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QHead_Heading9">
    <w:name w:val="QHead_heading 9"/>
    <w:basedOn w:val="QHead_Normal"/>
    <w:next w:val="QHead_Normal"/>
    <w:link w:val="QHead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QHead_DefaultParagraphFont">
    <w:name w:val="QHead_Default Paragraph Font"/>
    <w:uiPriority w:val="1"/>
    <w:semiHidden/>
    <w:unhideWhenUsed/>
  </w:style>
  <w:style w:type="table" w:default="1" w:styleId="QHead_TableNormal">
    <w:name w:val="QHead_Normal Table"/>
    <w:uiPriority w:val="99"/>
    <w:semiHidden/>
    <w:unhideWhenUsed/>
    <w:tblPr>
      <w:tblInd w:w="0" w:type="dxa"/>
      <w:tblCellMar>
        <w:top w:w="0" w:type="dxa"/>
        <w:left w:w="108" w:type="dxa"/>
        <w:bottom w:w="0" w:type="dxa"/>
        <w:right w:w="108" w:type="dxa"/>
      </w:tblCellMar>
    </w:tblPr>
  </w:style>
  <w:style w:type="numbering" w:default="1" w:styleId="QHead_NoList">
    <w:name w:val="QHead_No List"/>
    <w:uiPriority w:val="99"/>
    <w:semiHidden/>
    <w:unhideWhenUsed/>
  </w:style>
  <w:style w:type="paragraph" w:styleId="QHead_NoSpacing">
    <w:name w:val="QHead_No Spacing"/>
    <w:uiPriority w:val="1"/>
    <w:qFormat/>
    <w:rsid w:val="00FC693F"/>
    <w:pPr>
      <w:spacing w:after="0" w:line="240" w:lineRule="auto"/>
    </w:pPr>
  </w:style>
  <w:style w:type="character" w:customStyle="1" w:styleId="QHead_Heading1Char">
    <w:name w:val="QHead_Heading 1 Char"/>
    <w:basedOn w:val="QHead_DefaultParagraphFont"/>
    <w:link w:val="QHead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QHead_Heading2Char">
    <w:name w:val="QHead_Heading 2 Char"/>
    <w:basedOn w:val="QHead_DefaultParagraphFont"/>
    <w:link w:val="QHead_Heading2"/>
    <w:uiPriority w:val="9"/>
    <w:rsid w:val="00FC693F"/>
    <w:rPr>
      <w:rFonts w:asciiTheme="majorHAnsi" w:eastAsiaTheme="majorEastAsia" w:hAnsiTheme="majorHAnsi" w:cstheme="majorBidi"/>
      <w:b/>
      <w:bCs/>
      <w:color w:val="4F81BD" w:themeColor="accent1"/>
      <w:sz w:val="26"/>
      <w:szCs w:val="26"/>
    </w:rPr>
  </w:style>
  <w:style w:type="character" w:customStyle="1" w:styleId="QHead_Heading3Char">
    <w:name w:val="QHead_Heading 3 Char"/>
    <w:basedOn w:val="QHead_DefaultParagraphFont"/>
    <w:link w:val="QHead_Heading3"/>
    <w:uiPriority w:val="9"/>
    <w:rsid w:val="00FC693F"/>
    <w:rPr>
      <w:rFonts w:asciiTheme="majorHAnsi" w:eastAsiaTheme="majorEastAsia" w:hAnsiTheme="majorHAnsi" w:cstheme="majorBidi"/>
      <w:b/>
      <w:bCs/>
      <w:color w:val="4F81BD" w:themeColor="accent1"/>
    </w:rPr>
  </w:style>
  <w:style w:type="paragraph" w:styleId="QHead_Title">
    <w:name w:val="QHead_Title"/>
    <w:basedOn w:val="QHead_Normal"/>
    <w:next w:val="QHead_Normal"/>
    <w:link w:val="QHead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QHead_TitleChar">
    <w:name w:val="QHead_Title Char"/>
    <w:basedOn w:val="QHead_DefaultParagraphFont"/>
    <w:link w:val="QHead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QHead_Subtitle">
    <w:name w:val="QHead_Subtitle"/>
    <w:basedOn w:val="QHead_Normal"/>
    <w:next w:val="QHead_Normal"/>
    <w:link w:val="QHead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QHead_SubtitleChar">
    <w:name w:val="QHead_Subtitle Char"/>
    <w:basedOn w:val="QHead_DefaultParagraphFont"/>
    <w:link w:val="QHead_Subtitle"/>
    <w:uiPriority w:val="11"/>
    <w:rsid w:val="00FC693F"/>
    <w:rPr>
      <w:rFonts w:asciiTheme="majorHAnsi" w:eastAsiaTheme="majorEastAsia" w:hAnsiTheme="majorHAnsi" w:cstheme="majorBidi"/>
      <w:i/>
      <w:iCs/>
      <w:color w:val="4F81BD" w:themeColor="accent1"/>
      <w:spacing w:val="15"/>
      <w:sz w:val="24"/>
      <w:szCs w:val="24"/>
    </w:rPr>
  </w:style>
  <w:style w:type="paragraph" w:styleId="QHead_ListParagraph">
    <w:name w:val="QHead_List Paragraph"/>
    <w:basedOn w:val="QHead_Normal"/>
    <w:uiPriority w:val="34"/>
    <w:qFormat/>
    <w:rsid w:val="00FC693F"/>
    <w:pPr>
      <w:ind w:left="720"/>
      <w:contextualSpacing/>
    </w:pPr>
  </w:style>
  <w:style w:type="paragraph" w:styleId="QHead_BodyText">
    <w:name w:val="QHead_Body Text"/>
    <w:basedOn w:val="QHead_Normal"/>
    <w:link w:val="QHead_BodyTextChar"/>
    <w:uiPriority w:val="99"/>
    <w:unhideWhenUsed/>
    <w:rsid w:val="00AA1D8D"/>
    <w:pPr>
      <w:spacing w:after="120"/>
    </w:pPr>
  </w:style>
  <w:style w:type="character" w:customStyle="1" w:styleId="QHead_BodyTextChar">
    <w:name w:val="QHead_Body Text Char"/>
    <w:basedOn w:val="QHead_DefaultParagraphFont"/>
    <w:link w:val="QHead_BodyText"/>
    <w:uiPriority w:val="99"/>
    <w:rsid w:val="00AA1D8D"/>
  </w:style>
  <w:style w:type="paragraph" w:styleId="QHead_BodyText2">
    <w:name w:val="QHead_Body Text 2"/>
    <w:basedOn w:val="QHead_Normal"/>
    <w:link w:val="QHead_BodyText2Char"/>
    <w:uiPriority w:val="99"/>
    <w:unhideWhenUsed/>
    <w:rsid w:val="00AA1D8D"/>
    <w:pPr>
      <w:spacing w:after="120" w:line="480" w:lineRule="auto"/>
    </w:pPr>
  </w:style>
  <w:style w:type="character" w:customStyle="1" w:styleId="QHead_BodyText2Char">
    <w:name w:val="QHead_Body Text 2 Char"/>
    <w:basedOn w:val="QHead_DefaultParagraphFont"/>
    <w:link w:val="QHead_BodyText2"/>
    <w:uiPriority w:val="99"/>
    <w:rsid w:val="00AA1D8D"/>
  </w:style>
  <w:style w:type="paragraph" w:styleId="QHead_BodyText3">
    <w:name w:val="QHead_Body Text 3"/>
    <w:basedOn w:val="QHead_Normal"/>
    <w:link w:val="QHead_BodyText3Char"/>
    <w:uiPriority w:val="99"/>
    <w:unhideWhenUsed/>
    <w:rsid w:val="00AA1D8D"/>
    <w:pPr>
      <w:spacing w:after="120"/>
    </w:pPr>
    <w:rPr>
      <w:sz w:val="16"/>
      <w:szCs w:val="16"/>
    </w:rPr>
  </w:style>
  <w:style w:type="character" w:customStyle="1" w:styleId="QHead_BodyText3Char">
    <w:name w:val="QHead_Body Text 3 Char"/>
    <w:basedOn w:val="QHead_DefaultParagraphFont"/>
    <w:link w:val="QHead_BodyText3"/>
    <w:uiPriority w:val="99"/>
    <w:rsid w:val="00AA1D8D"/>
    <w:rPr>
      <w:sz w:val="16"/>
      <w:szCs w:val="16"/>
    </w:rPr>
  </w:style>
  <w:style w:type="paragraph" w:styleId="QHead_List">
    <w:name w:val="QHead_List"/>
    <w:basedOn w:val="QHead_Normal"/>
    <w:uiPriority w:val="99"/>
    <w:unhideWhenUsed/>
    <w:rsid w:val="00AA1D8D"/>
    <w:pPr>
      <w:ind w:left="360" w:hanging="360"/>
      <w:contextualSpacing/>
    </w:pPr>
  </w:style>
  <w:style w:type="paragraph" w:styleId="QHead_List2">
    <w:name w:val="QHead_List 2"/>
    <w:basedOn w:val="QHead_Normal"/>
    <w:uiPriority w:val="99"/>
    <w:unhideWhenUsed/>
    <w:rsid w:val="00326F90"/>
    <w:pPr>
      <w:ind w:left="720" w:hanging="360"/>
      <w:contextualSpacing/>
    </w:pPr>
  </w:style>
  <w:style w:type="paragraph" w:styleId="QHead_List3">
    <w:name w:val="QHead_List 3"/>
    <w:basedOn w:val="QHead_Normal"/>
    <w:uiPriority w:val="99"/>
    <w:unhideWhenUsed/>
    <w:rsid w:val="00326F90"/>
    <w:pPr>
      <w:ind w:left="1080" w:hanging="360"/>
      <w:contextualSpacing/>
    </w:pPr>
  </w:style>
  <w:style w:type="paragraph" w:styleId="QHead_ListBullet">
    <w:name w:val="QHead_List Bullet"/>
    <w:basedOn w:val="QHead_Normal"/>
    <w:uiPriority w:val="99"/>
    <w:unhideWhenUsed/>
    <w:rsid w:val="00326F90"/>
    <w:pPr>
      <w:numPr>
        <w:numId w:val="1"/>
      </w:numPr>
      <w:contextualSpacing/>
    </w:pPr>
  </w:style>
  <w:style w:type="paragraph" w:styleId="QHead_ListBullet2">
    <w:name w:val="QHead_List Bullet 2"/>
    <w:basedOn w:val="QHead_Normal"/>
    <w:uiPriority w:val="99"/>
    <w:unhideWhenUsed/>
    <w:rsid w:val="00326F90"/>
    <w:pPr>
      <w:numPr>
        <w:numId w:val="2"/>
      </w:numPr>
      <w:contextualSpacing/>
    </w:pPr>
  </w:style>
  <w:style w:type="paragraph" w:styleId="QHead_ListBullet3">
    <w:name w:val="QHead_List Bullet 3"/>
    <w:basedOn w:val="QHead_Normal"/>
    <w:uiPriority w:val="99"/>
    <w:unhideWhenUsed/>
    <w:rsid w:val="00326F90"/>
    <w:pPr>
      <w:numPr>
        <w:numId w:val="3"/>
      </w:numPr>
      <w:contextualSpacing/>
    </w:pPr>
  </w:style>
  <w:style w:type="paragraph" w:styleId="QHead_ListNumber">
    <w:name w:val="QHead_List Number"/>
    <w:basedOn w:val="QHead_Normal"/>
    <w:uiPriority w:val="99"/>
    <w:unhideWhenUsed/>
    <w:rsid w:val="00326F90"/>
    <w:pPr>
      <w:numPr>
        <w:numId w:val="5"/>
      </w:numPr>
      <w:contextualSpacing/>
    </w:pPr>
  </w:style>
  <w:style w:type="paragraph" w:styleId="QHead_ListNumber2">
    <w:name w:val="QHead_List Number 2"/>
    <w:basedOn w:val="QHead_Normal"/>
    <w:uiPriority w:val="99"/>
    <w:unhideWhenUsed/>
    <w:rsid w:val="0029639D"/>
    <w:pPr>
      <w:numPr>
        <w:numId w:val="6"/>
      </w:numPr>
      <w:contextualSpacing/>
    </w:pPr>
  </w:style>
  <w:style w:type="paragraph" w:styleId="QHead_ListNumber3">
    <w:name w:val="QHead_List Number 3"/>
    <w:basedOn w:val="QHead_Normal"/>
    <w:uiPriority w:val="99"/>
    <w:unhideWhenUsed/>
    <w:rsid w:val="0029639D"/>
    <w:pPr>
      <w:numPr>
        <w:numId w:val="7"/>
      </w:numPr>
      <w:contextualSpacing/>
    </w:pPr>
  </w:style>
  <w:style w:type="paragraph" w:styleId="QHead_ListContinue">
    <w:name w:val="QHead_List Continue"/>
    <w:basedOn w:val="QHead_Normal"/>
    <w:uiPriority w:val="99"/>
    <w:unhideWhenUsed/>
    <w:rsid w:val="0029639D"/>
    <w:pPr>
      <w:spacing w:after="120"/>
      <w:ind w:left="360"/>
      <w:contextualSpacing/>
    </w:pPr>
  </w:style>
  <w:style w:type="paragraph" w:styleId="QHead_ListContinue2">
    <w:name w:val="QHead_List Continue 2"/>
    <w:basedOn w:val="QHead_Normal"/>
    <w:uiPriority w:val="99"/>
    <w:unhideWhenUsed/>
    <w:rsid w:val="0029639D"/>
    <w:pPr>
      <w:spacing w:after="120"/>
      <w:ind w:left="720"/>
      <w:contextualSpacing/>
    </w:pPr>
  </w:style>
  <w:style w:type="paragraph" w:styleId="QHead_ListContinue3">
    <w:name w:val="QHead_List Continue 3"/>
    <w:basedOn w:val="QHead_Normal"/>
    <w:uiPriority w:val="99"/>
    <w:unhideWhenUsed/>
    <w:rsid w:val="0029639D"/>
    <w:pPr>
      <w:spacing w:after="120"/>
      <w:ind w:left="1080"/>
      <w:contextualSpacing/>
    </w:pPr>
  </w:style>
  <w:style w:type="paragraph" w:styleId="QHead_MacroText">
    <w:name w:val="QHead_macro"/>
    <w:link w:val="QHead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QHead_MacroTextChar">
    <w:name w:val="QHead_Macro Text Char"/>
    <w:basedOn w:val="QHead_DefaultParagraphFont"/>
    <w:link w:val="QHead_MacroText"/>
    <w:uiPriority w:val="99"/>
    <w:rsid w:val="0029639D"/>
    <w:rPr>
      <w:rFonts w:ascii="Courier" w:hAnsi="Courier"/>
      <w:sz w:val="20"/>
      <w:szCs w:val="20"/>
    </w:rPr>
  </w:style>
  <w:style w:type="paragraph" w:styleId="QHead_Quote">
    <w:name w:val="QHead_Quote"/>
    <w:basedOn w:val="QHead_Normal"/>
    <w:next w:val="QHead_Normal"/>
    <w:link w:val="QHead_QuoteChar"/>
    <w:uiPriority w:val="29"/>
    <w:qFormat/>
    <w:rsid w:val="00FC693F"/>
    <w:rPr>
      <w:i/>
      <w:iCs/>
      <w:color w:val="000000" w:themeColor="text1"/>
    </w:rPr>
  </w:style>
  <w:style w:type="character" w:customStyle="1" w:styleId="QHead_QuoteChar">
    <w:name w:val="QHead_Quote Char"/>
    <w:basedOn w:val="QHead_DefaultParagraphFont"/>
    <w:link w:val="QHead_Quote"/>
    <w:uiPriority w:val="29"/>
    <w:rsid w:val="00FC693F"/>
    <w:rPr>
      <w:i/>
      <w:iCs/>
      <w:color w:val="000000" w:themeColor="text1"/>
    </w:rPr>
  </w:style>
  <w:style w:type="character" w:customStyle="1" w:styleId="QHead_Heading4Char">
    <w:name w:val="QHead_Heading 4 Char"/>
    <w:basedOn w:val="QHead_DefaultParagraphFont"/>
    <w:link w:val="QHead_Heading4"/>
    <w:uiPriority w:val="9"/>
    <w:semiHidden/>
    <w:rsid w:val="00FC693F"/>
    <w:rPr>
      <w:rFonts w:asciiTheme="majorHAnsi" w:eastAsiaTheme="majorEastAsia" w:hAnsiTheme="majorHAnsi" w:cstheme="majorBidi"/>
      <w:b/>
      <w:bCs/>
      <w:i/>
      <w:iCs/>
      <w:color w:val="4F81BD" w:themeColor="accent1"/>
    </w:rPr>
  </w:style>
  <w:style w:type="character" w:customStyle="1" w:styleId="QHead_Heading5Char">
    <w:name w:val="QHead_Heading 5 Char"/>
    <w:basedOn w:val="QHead_DefaultParagraphFont"/>
    <w:link w:val="QHead_Heading5"/>
    <w:uiPriority w:val="9"/>
    <w:semiHidden/>
    <w:rsid w:val="00FC693F"/>
    <w:rPr>
      <w:rFonts w:asciiTheme="majorHAnsi" w:eastAsiaTheme="majorEastAsia" w:hAnsiTheme="majorHAnsi" w:cstheme="majorBidi"/>
      <w:color w:val="243F60" w:themeColor="accent1" w:themeShade="7F"/>
    </w:rPr>
  </w:style>
  <w:style w:type="character" w:customStyle="1" w:styleId="QHead_Heading6Char">
    <w:name w:val="QHead_Heading 6 Char"/>
    <w:basedOn w:val="QHead_DefaultParagraphFont"/>
    <w:link w:val="QHead_Heading6"/>
    <w:uiPriority w:val="9"/>
    <w:semiHidden/>
    <w:rsid w:val="00FC693F"/>
    <w:rPr>
      <w:rFonts w:asciiTheme="majorHAnsi" w:eastAsiaTheme="majorEastAsia" w:hAnsiTheme="majorHAnsi" w:cstheme="majorBidi"/>
      <w:i/>
      <w:iCs/>
      <w:color w:val="243F60" w:themeColor="accent1" w:themeShade="7F"/>
    </w:rPr>
  </w:style>
  <w:style w:type="character" w:customStyle="1" w:styleId="QHead_Heading7Char">
    <w:name w:val="QHead_Heading 7 Char"/>
    <w:basedOn w:val="QHead_DefaultParagraphFont"/>
    <w:link w:val="QHead_Heading7"/>
    <w:uiPriority w:val="9"/>
    <w:semiHidden/>
    <w:rsid w:val="00FC693F"/>
    <w:rPr>
      <w:rFonts w:asciiTheme="majorHAnsi" w:eastAsiaTheme="majorEastAsia" w:hAnsiTheme="majorHAnsi" w:cstheme="majorBidi"/>
      <w:i/>
      <w:iCs/>
      <w:color w:val="404040" w:themeColor="text1" w:themeTint="BF"/>
    </w:rPr>
  </w:style>
  <w:style w:type="character" w:customStyle="1" w:styleId="QHead_Heading8Char">
    <w:name w:val="QHead_Heading 8 Char"/>
    <w:basedOn w:val="QHead_DefaultParagraphFont"/>
    <w:link w:val="QHead_Heading8"/>
    <w:uiPriority w:val="9"/>
    <w:semiHidden/>
    <w:rsid w:val="00FC693F"/>
    <w:rPr>
      <w:rFonts w:asciiTheme="majorHAnsi" w:eastAsiaTheme="majorEastAsia" w:hAnsiTheme="majorHAnsi" w:cstheme="majorBidi"/>
      <w:color w:val="4F81BD" w:themeColor="accent1"/>
      <w:sz w:val="20"/>
      <w:szCs w:val="20"/>
    </w:rPr>
  </w:style>
  <w:style w:type="character" w:customStyle="1" w:styleId="QHead_Heading9Char">
    <w:name w:val="QHead_Heading 9 Char"/>
    <w:basedOn w:val="QHead_DefaultParagraphFont"/>
    <w:link w:val="QHead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QHead_Caption">
    <w:name w:val="QHead_caption"/>
    <w:basedOn w:val="QHead_Normal"/>
    <w:next w:val="QHead_Normal"/>
    <w:uiPriority w:val="35"/>
    <w:semiHidden/>
    <w:unhideWhenUsed/>
    <w:qFormat/>
    <w:rsid w:val="00FC693F"/>
    <w:pPr>
      <w:spacing w:line="240" w:lineRule="auto"/>
    </w:pPr>
    <w:rPr>
      <w:b/>
      <w:bCs/>
      <w:color w:val="4F81BD" w:themeColor="accent1"/>
      <w:sz w:val="18"/>
      <w:szCs w:val="18"/>
    </w:rPr>
  </w:style>
  <w:style w:type="character" w:styleId="QHead_Strong">
    <w:name w:val="QHead_Strong"/>
    <w:basedOn w:val="QHead_DefaultParagraphFont"/>
    <w:uiPriority w:val="22"/>
    <w:qFormat/>
    <w:rsid w:val="00FC693F"/>
    <w:rPr>
      <w:b/>
      <w:bCs/>
    </w:rPr>
  </w:style>
  <w:style w:type="character" w:styleId="QHead_Emphasis">
    <w:name w:val="QHead_Emphasis"/>
    <w:basedOn w:val="QHead_DefaultParagraphFont"/>
    <w:uiPriority w:val="20"/>
    <w:qFormat/>
    <w:rsid w:val="00FC693F"/>
    <w:rPr>
      <w:i/>
      <w:iCs/>
    </w:rPr>
  </w:style>
  <w:style w:type="paragraph" w:styleId="QHead_IntenseQuote">
    <w:name w:val="QHead_Intense Quote"/>
    <w:basedOn w:val="QHead_Normal"/>
    <w:next w:val="QHead_Normal"/>
    <w:link w:val="QHead_IntenseQuoteChar"/>
    <w:uiPriority w:val="30"/>
    <w:qFormat/>
    <w:rsid w:val="00FC693F"/>
    <w:pPr>
      <w:spacing w:before="200" w:after="280"/>
      <w:ind w:left="936" w:right="936"/>
    </w:pPr>
    <w:rPr>
      <w:b/>
      <w:bCs/>
      <w:i/>
      <w:iCs/>
      <w:color w:val="4F81BD" w:themeColor="accent1"/>
    </w:rPr>
  </w:style>
  <w:style w:type="character" w:customStyle="1" w:styleId="QHead_IntenseQuoteChar">
    <w:name w:val="QHead_Intense Quote Char"/>
    <w:basedOn w:val="QHead_DefaultParagraphFont"/>
    <w:link w:val="QHead_IntenseQuote"/>
    <w:uiPriority w:val="30"/>
    <w:rsid w:val="00FC693F"/>
    <w:rPr>
      <w:b/>
      <w:bCs/>
      <w:i/>
      <w:iCs/>
      <w:color w:val="4F81BD" w:themeColor="accent1"/>
    </w:rPr>
  </w:style>
  <w:style w:type="character" w:styleId="QHead_SubtleEmphasis">
    <w:name w:val="QHead_Subtle Emphasis"/>
    <w:basedOn w:val="QHead_DefaultParagraphFont"/>
    <w:uiPriority w:val="19"/>
    <w:qFormat/>
    <w:rsid w:val="00FC693F"/>
    <w:rPr>
      <w:i/>
      <w:iCs/>
      <w:color w:val="808080" w:themeColor="text1" w:themeTint="7F"/>
    </w:rPr>
  </w:style>
  <w:style w:type="character" w:styleId="QHead_IntenseEmphasis">
    <w:name w:val="QHead_Intense Emphasis"/>
    <w:basedOn w:val="QHead_DefaultParagraphFont"/>
    <w:uiPriority w:val="21"/>
    <w:qFormat/>
    <w:rsid w:val="00FC693F"/>
    <w:rPr>
      <w:b/>
      <w:bCs/>
      <w:i/>
      <w:iCs/>
      <w:color w:val="4F81BD" w:themeColor="accent1"/>
    </w:rPr>
  </w:style>
  <w:style w:type="character" w:styleId="QHead_SubtleReference">
    <w:name w:val="QHead_Subtle Reference"/>
    <w:basedOn w:val="QHead_DefaultParagraphFont"/>
    <w:uiPriority w:val="31"/>
    <w:qFormat/>
    <w:rsid w:val="00FC693F"/>
    <w:rPr>
      <w:smallCaps/>
      <w:color w:val="C0504D" w:themeColor="accent2"/>
      <w:u w:val="single"/>
    </w:rPr>
  </w:style>
  <w:style w:type="character" w:styleId="QHead_IntenseReference">
    <w:name w:val="QHead_Intense Reference"/>
    <w:basedOn w:val="QHead_DefaultParagraphFont"/>
    <w:uiPriority w:val="32"/>
    <w:qFormat/>
    <w:rsid w:val="00FC693F"/>
    <w:rPr>
      <w:b/>
      <w:bCs/>
      <w:smallCaps/>
      <w:color w:val="C0504D" w:themeColor="accent2"/>
      <w:spacing w:val="5"/>
      <w:u w:val="single"/>
    </w:rPr>
  </w:style>
  <w:style w:type="character" w:styleId="QHead_BookTitle">
    <w:name w:val="QHead_Book Title"/>
    <w:basedOn w:val="QHead_DefaultParagraphFont"/>
    <w:uiPriority w:val="33"/>
    <w:qFormat/>
    <w:rsid w:val="00FC693F"/>
    <w:rPr>
      <w:b/>
      <w:bCs/>
      <w:smallCaps/>
      <w:spacing w:val="5"/>
    </w:rPr>
  </w:style>
  <w:style w:type="paragraph" w:styleId="QHead_TOCHeading">
    <w:name w:val="QHead_TOC Heading"/>
    <w:basedOn w:val="QHead_Heading1"/>
    <w:next w:val="QHead_Normal"/>
    <w:uiPriority w:val="39"/>
    <w:semiHidden/>
    <w:unhideWhenUsed/>
    <w:qFormat/>
    <w:rsid w:val="00FC693F"/>
    <w:pPr>
      <w:outlineLvl w:val="9"/>
    </w:pPr>
  </w:style>
  <w:style w:type="table" w:styleId="QHead_TableGrid">
    <w:name w:val="QHead_Table Grid"/>
    <w:basedOn w:val="QHead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QHead_LightShading">
    <w:name w:val="QHead_Light Shading"/>
    <w:basedOn w:val="QHead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QHead_LightShading-Accent1">
    <w:name w:val="QHead_Light Shading Accent 1"/>
    <w:basedOn w:val="QHead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QHead_LightShading-Accent2">
    <w:name w:val="QHead_Light Shading Accent 2"/>
    <w:basedOn w:val="QHead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QHead_LightShading-Accent3">
    <w:name w:val="QHead_Light Shading Accent 3"/>
    <w:basedOn w:val="QHead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QHead_LightShading-Accent4">
    <w:name w:val="QHead_Light Shading Accent 4"/>
    <w:basedOn w:val="QHead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QHead_LightShading-Accent5">
    <w:name w:val="QHead_Light Shading Accent 5"/>
    <w:basedOn w:val="QHead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QHead_LightShading-Accent6">
    <w:name w:val="QHead_Light Shading Accent 6"/>
    <w:basedOn w:val="QHead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QHead_LightList">
    <w:name w:val="QHead_Light List"/>
    <w:basedOn w:val="QHead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QHead_LightList-Accent1">
    <w:name w:val="QHead_Light List Accent 1"/>
    <w:basedOn w:val="QHead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QHead_LightList-Accent2">
    <w:name w:val="QHead_Light List Accent 2"/>
    <w:basedOn w:val="QHead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QHead_LightList-Accent3">
    <w:name w:val="QHead_Light List Accent 3"/>
    <w:basedOn w:val="QHead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QHead_LightList-Accent4">
    <w:name w:val="QHead_Light List Accent 4"/>
    <w:basedOn w:val="QHead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QHead_LightList-Accent5">
    <w:name w:val="QHead_Light List Accent 5"/>
    <w:basedOn w:val="QHead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QHead_LightList-Accent6">
    <w:name w:val="QHead_Light List Accent 6"/>
    <w:basedOn w:val="QHead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QHead_LightGrid">
    <w:name w:val="QHead_Light Grid"/>
    <w:basedOn w:val="QHead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QHead_LightGrid-Accent1">
    <w:name w:val="QHead_Light Grid Accent 1"/>
    <w:basedOn w:val="QHead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QHead_LightGrid-Accent2">
    <w:name w:val="QHead_Light Grid Accent 2"/>
    <w:basedOn w:val="QHead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QHead_LightGrid-Accent3">
    <w:name w:val="QHead_Light Grid Accent 3"/>
    <w:basedOn w:val="QHead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QHead_LightGrid-Accent4">
    <w:name w:val="QHead_Light Grid Accent 4"/>
    <w:basedOn w:val="QHead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QHead_LightGrid-Accent5">
    <w:name w:val="QHead_Light Grid Accent 5"/>
    <w:basedOn w:val="QHead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QHead_LightGrid-Accent6">
    <w:name w:val="QHead_Light Grid Accent 6"/>
    <w:basedOn w:val="QHead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QHead_MediumShading1">
    <w:name w:val="QHead_Medium Shading 1"/>
    <w:basedOn w:val="QHead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QHead_MediumShading1-Accent1">
    <w:name w:val="QHead_Medium Shading 1 Accent 1"/>
    <w:basedOn w:val="QHead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QHead_MediumShading1-Accent2">
    <w:name w:val="QHead_Medium Shading 1 Accent 2"/>
    <w:basedOn w:val="QHead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QHead_MediumShading1-Accent3">
    <w:name w:val="QHead_Medium Shading 1 Accent 3"/>
    <w:basedOn w:val="QHead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QHead_MediumShading1-Accent4">
    <w:name w:val="QHead_Medium Shading 1 Accent 4"/>
    <w:basedOn w:val="QHead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QHead_MediumShading1-Accent5">
    <w:name w:val="QHead_Medium Shading 1 Accent 5"/>
    <w:basedOn w:val="QHead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QHead_MediumShading1-Accent6">
    <w:name w:val="QHead_Medium Shading 1 Accent 6"/>
    <w:basedOn w:val="QHead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QHead_MediumShading2">
    <w:name w:val="QHead_Medium Shading 2"/>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Shading2-Accent1">
    <w:name w:val="QHead_Medium Shading 2 Accent 1"/>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Shading2-Accent2">
    <w:name w:val="QHead_Medium Shading 2 Accent 2"/>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Shading2-Accent3">
    <w:name w:val="QHead_Medium Shading 2 Accent 3"/>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Shading2-Accent4">
    <w:name w:val="QHead_Medium Shading 2 Accent 4"/>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Shading2-Accent5">
    <w:name w:val="QHead_Medium Shading 2 Accent 5"/>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Shading2-Accent6">
    <w:name w:val="QHead_Medium Shading 2 Accent 6"/>
    <w:basedOn w:val="Q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Head_MediumList1">
    <w:name w:val="QHead_Medium List 1"/>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QHead_MediumList1-Accent1">
    <w:name w:val="QHead_Medium List 1 Accent 1"/>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QHead_MediumList1-Accent2">
    <w:name w:val="QHead_Medium List 1 Accent 2"/>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QHead_MediumList1-Accent3">
    <w:name w:val="QHead_Medium List 1 Accent 3"/>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QHead_MediumList1-Accent4">
    <w:name w:val="QHead_Medium List 1 Accent 4"/>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QHead_MediumList1-Accent5">
    <w:name w:val="QHead_Medium List 1 Accent 5"/>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QHead_MediumList1-Accent6">
    <w:name w:val="QHead_Medium List 1 Accent 6"/>
    <w:basedOn w:val="QHead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QHead_MediumList2">
    <w:name w:val="QHead_Medium List 2"/>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List2-Accent1">
    <w:name w:val="QHead_Medium List 2 Accent 1"/>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List2-Accent2">
    <w:name w:val="QHead_Medium List 2 Accent 2"/>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List2-Accent3">
    <w:name w:val="QHead_Medium List 2 Accent 3"/>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List2-Accent4">
    <w:name w:val="QHead_Medium List 2 Accent 4"/>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List2-Accent5">
    <w:name w:val="QHead_Medium List 2 Accent 5"/>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List2-Accent6">
    <w:name w:val="QHead_Medium List 2 Accent 6"/>
    <w:basedOn w:val="Q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QHead_MediumGrid1">
    <w:name w:val="QHead_Medium Grid 1"/>
    <w:basedOn w:val="QHead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Head_MediumGrid1-Accent1">
    <w:name w:val="QHead_Medium Grid 1 Accent 1"/>
    <w:basedOn w:val="QHead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Head_MediumGrid1-Accent2">
    <w:name w:val="QHead_Medium Grid 1 Accent 2"/>
    <w:basedOn w:val="QHead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Head_MediumGrid1-Accent3">
    <w:name w:val="QHead_Medium Grid 1 Accent 3"/>
    <w:basedOn w:val="QHead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Head_MediumGrid1-Accent4">
    <w:name w:val="QHead_Medium Grid 1 Accent 4"/>
    <w:basedOn w:val="QHead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Head_MediumGrid1-Accent5">
    <w:name w:val="QHead_Medium Grid 1 Accent 5"/>
    <w:basedOn w:val="QHead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Head_MediumGrid1-Accent6">
    <w:name w:val="QHead_Medium Grid 1 Accent 6"/>
    <w:basedOn w:val="QHead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QHead_MediumGrid2">
    <w:name w:val="QHead_Medium Grid 2"/>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QHead_MediumGrid2-Accent1">
    <w:name w:val="QHead_Medium Grid 2 Accent 1"/>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QHead_MediumGrid2-Accent2">
    <w:name w:val="QHead_Medium Grid 2 Accent 2"/>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QHead_MediumGrid2-Accent3">
    <w:name w:val="QHead_Medium Grid 2 Accent 3"/>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QHead_MediumGrid2-Accent4">
    <w:name w:val="QHead_Medium Grid 2 Accent 4"/>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QHead_MediumGrid2-Accent5">
    <w:name w:val="QHead_Medium Grid 2 Accent 5"/>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QHead_MediumGrid2-Accent6">
    <w:name w:val="QHead_Medium Grid 2 Accent 6"/>
    <w:basedOn w:val="Q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QHead_MediumGrid3">
    <w:name w:val="QHead_Medium Grid 3"/>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QHead_MediumGrid3-Accent1">
    <w:name w:val="QHead_Medium Grid 3 Accent 1"/>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QHead_MediumGrid3-Accent2">
    <w:name w:val="QHead_Medium Grid 3 Accent 2"/>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QHead_MediumGrid3-Accent3">
    <w:name w:val="QHead_Medium Grid 3 Accent 3"/>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QHead_MediumGrid3-Accent4">
    <w:name w:val="QHead_Medium Grid 3 Accent 4"/>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QHead_MediumGrid3-Accent5">
    <w:name w:val="QHead_Medium Grid 3 Accent 5"/>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QHead_MediumGrid3-Accent6">
    <w:name w:val="QHead_Medium Grid 3 Accent 6"/>
    <w:basedOn w:val="Q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QHead_DarkList">
    <w:name w:val="QHead_Dark List"/>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QHead_DarkList-Accent1">
    <w:name w:val="QHead_Dark List Accent 1"/>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QHead_DarkList-Accent2">
    <w:name w:val="QHead_Dark List Accent 2"/>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QHead_DarkList-Accent3">
    <w:name w:val="QHead_Dark List Accent 3"/>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QHead_DarkList-Accent4">
    <w:name w:val="QHead_Dark List Accent 4"/>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QHead_DarkList-Accent5">
    <w:name w:val="QHead_Dark List Accent 5"/>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QHead_DarkList-Accent6">
    <w:name w:val="QHead_Dark List Accent 6"/>
    <w:basedOn w:val="Q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QHead_ColorfulShading">
    <w:name w:val="QHead_Colorful Shading"/>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QHead_ColorfulShading-Accent1">
    <w:name w:val="QHead_Colorful Shading Accent 1"/>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QHead_ColorfulShading-Accent2">
    <w:name w:val="QHead_Colorful Shading Accent 2"/>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QHead_ColorfulShading-Accent3">
    <w:name w:val="QHead_Colorful Shading Accent 3"/>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QHead_ColorfulShading-Accent4">
    <w:name w:val="QHead_Colorful Shading Accent 4"/>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QHead_ColorfulShading-Accent5">
    <w:name w:val="QHead_Colorful Shading Accent 5"/>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QHead_ColorfulShading-Accent6">
    <w:name w:val="QHead_Colorful Shading Accent 6"/>
    <w:basedOn w:val="Q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QHead_ColorfulList">
    <w:name w:val="QHead_Colorful List"/>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QHead_ColorfulList-Accent1">
    <w:name w:val="QHead_Colorful List Accent 1"/>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QHead_ColorfulList-Accent2">
    <w:name w:val="QHead_Colorful List Accent 2"/>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QHead_ColorfulList-Accent3">
    <w:name w:val="QHead_Colorful List Accent 3"/>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QHead_ColorfulList-Accent4">
    <w:name w:val="QHead_Colorful List Accent 4"/>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QHead_ColorfulList-Accent5">
    <w:name w:val="QHead_Colorful List Accent 5"/>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QHead_ColorfulList-Accent6">
    <w:name w:val="QHead_Colorful List Accent 6"/>
    <w:basedOn w:val="Q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QHead_ColorfulGrid">
    <w:name w:val="QHead_Colorful Grid"/>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Head_ColorfulGrid-Accent1">
    <w:name w:val="QHead_Colorful Grid Accent 1"/>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Head_ColorfulGrid-Accent2">
    <w:name w:val="QHead_Colorful Grid Accent 2"/>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Head_ColorfulGrid-Accent3">
    <w:name w:val="QHead_Colorful Grid Accent 3"/>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Head_ColorfulGrid-Accent4">
    <w:name w:val="QHead_Colorful Grid Accent 4"/>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Head_ColorfulGrid-Accent5">
    <w:name w:val="QHead_Colorful Grid Accent 5"/>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Head_ColorfulGrid-Accent6">
    <w:name w:val="QHead_Colorful Grid Accent 6"/>
    <w:basedOn w:val="Q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QA_Normal">
    <w:name w:val="QA_Normal"/>
    <w:qFormat/>
    <w:rsid w:val="00FC693F"/>
    <w:pPr>
      <w:spacing w:after="120" w:line="259" w:lineRule="auto"/>
    </w:pPr>
    <w:rPr>
      <w:rFonts w:ascii="Calibri" w:hAnsi="Calibri"/>
      <w:color w:val="000000"/>
      <w:sz w:val="22"/>
    </w:rPr>
  </w:style>
  <w:style w:type="paragraph" w:styleId="QA_Header">
    <w:name w:val="QA_header"/>
    <w:basedOn w:val="QA_Normal"/>
    <w:link w:val="QA_HeaderChar"/>
    <w:uiPriority w:val="99"/>
    <w:unhideWhenUsed/>
    <w:rsid w:val="00E618BF"/>
    <w:pPr>
      <w:tabs>
        <w:tab w:val="center" w:pos="4680"/>
        <w:tab w:val="right" w:pos="9360"/>
      </w:tabs>
      <w:spacing w:after="0" w:line="240" w:lineRule="auto"/>
    </w:pPr>
  </w:style>
  <w:style w:type="character" w:customStyle="1" w:styleId="QA_HeaderChar">
    <w:name w:val="QA_Header Char"/>
    <w:basedOn w:val="QA_DefaultParagraphFont"/>
    <w:link w:val="QA_Header"/>
    <w:uiPriority w:val="99"/>
    <w:rsid w:val="00E618BF"/>
  </w:style>
  <w:style w:type="paragraph" w:styleId="QA_Footer">
    <w:name w:val="QA_footer"/>
    <w:basedOn w:val="QA_Normal"/>
    <w:link w:val="QA_FooterChar"/>
    <w:uiPriority w:val="99"/>
    <w:unhideWhenUsed/>
    <w:rsid w:val="00E618BF"/>
    <w:pPr>
      <w:tabs>
        <w:tab w:val="center" w:pos="4680"/>
        <w:tab w:val="right" w:pos="9360"/>
      </w:tabs>
      <w:spacing w:after="0" w:line="240" w:lineRule="auto"/>
    </w:pPr>
  </w:style>
  <w:style w:type="character" w:customStyle="1" w:styleId="QA_FooterChar">
    <w:name w:val="QA_Footer Char"/>
    <w:basedOn w:val="QA_DefaultParagraphFont"/>
    <w:link w:val="QA_Footer"/>
    <w:uiPriority w:val="99"/>
    <w:rsid w:val="00E618BF"/>
  </w:style>
  <w:style w:type="paragraph" w:styleId="QA_Heading1">
    <w:name w:val="QA_heading 1"/>
    <w:basedOn w:val="QA_Normal"/>
    <w:next w:val="QA_Normal"/>
    <w:link w:val="QA_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QA_Heading2">
    <w:name w:val="QA_heading 2"/>
    <w:basedOn w:val="QA_Normal"/>
    <w:next w:val="QA_Normal"/>
    <w:link w:val="QA_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QA_Heading3">
    <w:name w:val="QA_heading 3"/>
    <w:basedOn w:val="QA_Normal"/>
    <w:next w:val="QA_Normal"/>
    <w:link w:val="QA_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QA_Heading4">
    <w:name w:val="QA_heading 4"/>
    <w:basedOn w:val="QA_Normal"/>
    <w:next w:val="QA_Normal"/>
    <w:link w:val="QA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QA_Heading5">
    <w:name w:val="QA_heading 5"/>
    <w:basedOn w:val="QA_Normal"/>
    <w:next w:val="QA_Normal"/>
    <w:link w:val="QA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QA_Heading6">
    <w:name w:val="QA_heading 6"/>
    <w:basedOn w:val="QA_Normal"/>
    <w:next w:val="QA_Normal"/>
    <w:link w:val="QA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QA_Heading7">
    <w:name w:val="QA_heading 7"/>
    <w:basedOn w:val="QA_Normal"/>
    <w:next w:val="QA_Normal"/>
    <w:link w:val="QA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QA_Heading8">
    <w:name w:val="QA_heading 8"/>
    <w:basedOn w:val="QA_Normal"/>
    <w:next w:val="QA_Normal"/>
    <w:link w:val="QA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QA_Heading9">
    <w:name w:val="QA_heading 9"/>
    <w:basedOn w:val="QA_Normal"/>
    <w:next w:val="QA_Normal"/>
    <w:link w:val="QA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QA_DefaultParagraphFont">
    <w:name w:val="QA_Default Paragraph Font"/>
    <w:uiPriority w:val="1"/>
    <w:semiHidden/>
    <w:unhideWhenUsed/>
  </w:style>
  <w:style w:type="table" w:default="1" w:styleId="QA_TableNormal">
    <w:name w:val="QA_Normal Table"/>
    <w:uiPriority w:val="99"/>
    <w:semiHidden/>
    <w:unhideWhenUsed/>
    <w:tblPr>
      <w:tblInd w:w="0" w:type="dxa"/>
      <w:tblCellMar>
        <w:top w:w="0" w:type="dxa"/>
        <w:left w:w="108" w:type="dxa"/>
        <w:bottom w:w="0" w:type="dxa"/>
        <w:right w:w="108" w:type="dxa"/>
      </w:tblCellMar>
    </w:tblPr>
  </w:style>
  <w:style w:type="numbering" w:default="1" w:styleId="QA_NoList">
    <w:name w:val="QA_No List"/>
    <w:uiPriority w:val="99"/>
    <w:semiHidden/>
    <w:unhideWhenUsed/>
  </w:style>
  <w:style w:type="paragraph" w:styleId="QA_NoSpacing">
    <w:name w:val="QA_No Spacing"/>
    <w:uiPriority w:val="1"/>
    <w:qFormat/>
    <w:rsid w:val="00FC693F"/>
    <w:pPr>
      <w:spacing w:after="0" w:line="240" w:lineRule="auto"/>
    </w:pPr>
  </w:style>
  <w:style w:type="character" w:customStyle="1" w:styleId="QA_Heading1Char">
    <w:name w:val="QA_Heading 1 Char"/>
    <w:basedOn w:val="QA_DefaultParagraphFont"/>
    <w:link w:val="QA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QA_Heading2Char">
    <w:name w:val="QA_Heading 2 Char"/>
    <w:basedOn w:val="QA_DefaultParagraphFont"/>
    <w:link w:val="QA_Heading2"/>
    <w:uiPriority w:val="9"/>
    <w:rsid w:val="00FC693F"/>
    <w:rPr>
      <w:rFonts w:asciiTheme="majorHAnsi" w:eastAsiaTheme="majorEastAsia" w:hAnsiTheme="majorHAnsi" w:cstheme="majorBidi"/>
      <w:b/>
      <w:bCs/>
      <w:color w:val="4F81BD" w:themeColor="accent1"/>
      <w:sz w:val="26"/>
      <w:szCs w:val="26"/>
    </w:rPr>
  </w:style>
  <w:style w:type="character" w:customStyle="1" w:styleId="QA_Heading3Char">
    <w:name w:val="QA_Heading 3 Char"/>
    <w:basedOn w:val="QA_DefaultParagraphFont"/>
    <w:link w:val="QA_Heading3"/>
    <w:uiPriority w:val="9"/>
    <w:rsid w:val="00FC693F"/>
    <w:rPr>
      <w:rFonts w:asciiTheme="majorHAnsi" w:eastAsiaTheme="majorEastAsia" w:hAnsiTheme="majorHAnsi" w:cstheme="majorBidi"/>
      <w:b/>
      <w:bCs/>
      <w:color w:val="4F81BD" w:themeColor="accent1"/>
    </w:rPr>
  </w:style>
  <w:style w:type="paragraph" w:styleId="QA_Title">
    <w:name w:val="QA_Title"/>
    <w:basedOn w:val="QA_Normal"/>
    <w:next w:val="QA_Normal"/>
    <w:link w:val="QA_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QA_TitleChar">
    <w:name w:val="QA_Title Char"/>
    <w:basedOn w:val="QA_DefaultParagraphFont"/>
    <w:link w:val="QA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QA_Subtitle">
    <w:name w:val="QA_Subtitle"/>
    <w:basedOn w:val="QA_Normal"/>
    <w:next w:val="QA_Normal"/>
    <w:link w:val="QA_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QA_SubtitleChar">
    <w:name w:val="QA_Subtitle Char"/>
    <w:basedOn w:val="QA_DefaultParagraphFont"/>
    <w:link w:val="QA_Subtitle"/>
    <w:uiPriority w:val="11"/>
    <w:rsid w:val="00FC693F"/>
    <w:rPr>
      <w:rFonts w:asciiTheme="majorHAnsi" w:eastAsiaTheme="majorEastAsia" w:hAnsiTheme="majorHAnsi" w:cstheme="majorBidi"/>
      <w:i/>
      <w:iCs/>
      <w:color w:val="4F81BD" w:themeColor="accent1"/>
      <w:spacing w:val="15"/>
      <w:sz w:val="24"/>
      <w:szCs w:val="24"/>
    </w:rPr>
  </w:style>
  <w:style w:type="paragraph" w:styleId="QA_ListParagraph">
    <w:name w:val="QA_List Paragraph"/>
    <w:basedOn w:val="QA_Normal"/>
    <w:uiPriority w:val="34"/>
    <w:qFormat/>
    <w:rsid w:val="00FC693F"/>
    <w:pPr>
      <w:ind w:left="720"/>
      <w:contextualSpacing/>
    </w:pPr>
  </w:style>
  <w:style w:type="paragraph" w:styleId="QA_BodyText">
    <w:name w:val="QA_Body Text"/>
    <w:basedOn w:val="QA_Normal"/>
    <w:link w:val="QA_BodyTextChar"/>
    <w:uiPriority w:val="99"/>
    <w:unhideWhenUsed/>
    <w:rsid w:val="00AA1D8D"/>
    <w:pPr>
      <w:spacing w:after="120"/>
    </w:pPr>
  </w:style>
  <w:style w:type="character" w:customStyle="1" w:styleId="QA_BodyTextChar">
    <w:name w:val="QA_Body Text Char"/>
    <w:basedOn w:val="QA_DefaultParagraphFont"/>
    <w:link w:val="QA_BodyText"/>
    <w:uiPriority w:val="99"/>
    <w:rsid w:val="00AA1D8D"/>
  </w:style>
  <w:style w:type="paragraph" w:styleId="QA_BodyText2">
    <w:name w:val="QA_Body Text 2"/>
    <w:basedOn w:val="QA_Normal"/>
    <w:link w:val="QA_BodyText2Char"/>
    <w:uiPriority w:val="99"/>
    <w:unhideWhenUsed/>
    <w:rsid w:val="00AA1D8D"/>
    <w:pPr>
      <w:spacing w:after="120" w:line="480" w:lineRule="auto"/>
    </w:pPr>
  </w:style>
  <w:style w:type="character" w:customStyle="1" w:styleId="QA_BodyText2Char">
    <w:name w:val="QA_Body Text 2 Char"/>
    <w:basedOn w:val="QA_DefaultParagraphFont"/>
    <w:link w:val="QA_BodyText2"/>
    <w:uiPriority w:val="99"/>
    <w:rsid w:val="00AA1D8D"/>
  </w:style>
  <w:style w:type="paragraph" w:styleId="QA_BodyText3">
    <w:name w:val="QA_Body Text 3"/>
    <w:basedOn w:val="QA_Normal"/>
    <w:link w:val="QA_BodyText3Char"/>
    <w:uiPriority w:val="99"/>
    <w:unhideWhenUsed/>
    <w:rsid w:val="00AA1D8D"/>
    <w:pPr>
      <w:spacing w:after="120"/>
    </w:pPr>
    <w:rPr>
      <w:sz w:val="16"/>
      <w:szCs w:val="16"/>
    </w:rPr>
  </w:style>
  <w:style w:type="character" w:customStyle="1" w:styleId="QA_BodyText3Char">
    <w:name w:val="QA_Body Text 3 Char"/>
    <w:basedOn w:val="QA_DefaultParagraphFont"/>
    <w:link w:val="QA_BodyText3"/>
    <w:uiPriority w:val="99"/>
    <w:rsid w:val="00AA1D8D"/>
    <w:rPr>
      <w:sz w:val="16"/>
      <w:szCs w:val="16"/>
    </w:rPr>
  </w:style>
  <w:style w:type="paragraph" w:styleId="QA_List">
    <w:name w:val="QA_List"/>
    <w:basedOn w:val="QA_Normal"/>
    <w:uiPriority w:val="99"/>
    <w:unhideWhenUsed/>
    <w:rsid w:val="00AA1D8D"/>
    <w:pPr>
      <w:ind w:left="360" w:hanging="360"/>
      <w:contextualSpacing/>
    </w:pPr>
  </w:style>
  <w:style w:type="paragraph" w:styleId="QA_List2">
    <w:name w:val="QA_List 2"/>
    <w:basedOn w:val="QA_Normal"/>
    <w:uiPriority w:val="99"/>
    <w:unhideWhenUsed/>
    <w:rsid w:val="00326F90"/>
    <w:pPr>
      <w:ind w:left="720" w:hanging="360"/>
      <w:contextualSpacing/>
    </w:pPr>
  </w:style>
  <w:style w:type="paragraph" w:styleId="QA_List3">
    <w:name w:val="QA_List 3"/>
    <w:basedOn w:val="QA_Normal"/>
    <w:uiPriority w:val="99"/>
    <w:unhideWhenUsed/>
    <w:rsid w:val="00326F90"/>
    <w:pPr>
      <w:ind w:left="1080" w:hanging="360"/>
      <w:contextualSpacing/>
    </w:pPr>
  </w:style>
  <w:style w:type="paragraph" w:styleId="QA_ListBullet">
    <w:name w:val="QA_List Bullet"/>
    <w:basedOn w:val="QA_Normal"/>
    <w:uiPriority w:val="99"/>
    <w:unhideWhenUsed/>
    <w:rsid w:val="00326F90"/>
    <w:pPr>
      <w:numPr>
        <w:numId w:val="1"/>
      </w:numPr>
      <w:contextualSpacing/>
    </w:pPr>
  </w:style>
  <w:style w:type="paragraph" w:styleId="QA_ListBullet2">
    <w:name w:val="QA_List Bullet 2"/>
    <w:basedOn w:val="QA_Normal"/>
    <w:uiPriority w:val="99"/>
    <w:unhideWhenUsed/>
    <w:rsid w:val="00326F90"/>
    <w:pPr>
      <w:numPr>
        <w:numId w:val="2"/>
      </w:numPr>
      <w:contextualSpacing/>
    </w:pPr>
  </w:style>
  <w:style w:type="paragraph" w:styleId="QA_ListBullet3">
    <w:name w:val="QA_List Bullet 3"/>
    <w:basedOn w:val="QA_Normal"/>
    <w:uiPriority w:val="99"/>
    <w:unhideWhenUsed/>
    <w:rsid w:val="00326F90"/>
    <w:pPr>
      <w:numPr>
        <w:numId w:val="3"/>
      </w:numPr>
      <w:contextualSpacing/>
    </w:pPr>
  </w:style>
  <w:style w:type="paragraph" w:styleId="QA_ListNumber">
    <w:name w:val="QA_List Number"/>
    <w:basedOn w:val="QA_Normal"/>
    <w:uiPriority w:val="99"/>
    <w:unhideWhenUsed/>
    <w:rsid w:val="00326F90"/>
    <w:pPr>
      <w:numPr>
        <w:numId w:val="5"/>
      </w:numPr>
      <w:contextualSpacing/>
    </w:pPr>
  </w:style>
  <w:style w:type="paragraph" w:styleId="QA_ListNumber2">
    <w:name w:val="QA_List Number 2"/>
    <w:basedOn w:val="QA_Normal"/>
    <w:uiPriority w:val="99"/>
    <w:unhideWhenUsed/>
    <w:rsid w:val="0029639D"/>
    <w:pPr>
      <w:numPr>
        <w:numId w:val="6"/>
      </w:numPr>
      <w:contextualSpacing/>
    </w:pPr>
  </w:style>
  <w:style w:type="paragraph" w:styleId="QA_ListNumber3">
    <w:name w:val="QA_List Number 3"/>
    <w:basedOn w:val="QA_Normal"/>
    <w:uiPriority w:val="99"/>
    <w:unhideWhenUsed/>
    <w:rsid w:val="0029639D"/>
    <w:pPr>
      <w:numPr>
        <w:numId w:val="7"/>
      </w:numPr>
      <w:contextualSpacing/>
    </w:pPr>
  </w:style>
  <w:style w:type="paragraph" w:styleId="QA_ListContinue">
    <w:name w:val="QA_List Continue"/>
    <w:basedOn w:val="QA_Normal"/>
    <w:uiPriority w:val="99"/>
    <w:unhideWhenUsed/>
    <w:rsid w:val="0029639D"/>
    <w:pPr>
      <w:spacing w:after="120"/>
      <w:ind w:left="360"/>
      <w:contextualSpacing/>
    </w:pPr>
  </w:style>
  <w:style w:type="paragraph" w:styleId="QA_ListContinue2">
    <w:name w:val="QA_List Continue 2"/>
    <w:basedOn w:val="QA_Normal"/>
    <w:uiPriority w:val="99"/>
    <w:unhideWhenUsed/>
    <w:rsid w:val="0029639D"/>
    <w:pPr>
      <w:spacing w:after="120"/>
      <w:ind w:left="720"/>
      <w:contextualSpacing/>
    </w:pPr>
  </w:style>
  <w:style w:type="paragraph" w:styleId="QA_ListContinue3">
    <w:name w:val="QA_List Continue 3"/>
    <w:basedOn w:val="QA_Normal"/>
    <w:uiPriority w:val="99"/>
    <w:unhideWhenUsed/>
    <w:rsid w:val="0029639D"/>
    <w:pPr>
      <w:spacing w:after="120"/>
      <w:ind w:left="1080"/>
      <w:contextualSpacing/>
    </w:pPr>
  </w:style>
  <w:style w:type="paragraph" w:styleId="QA_MacroText">
    <w:name w:val="QA_macro"/>
    <w:link w:val="QA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QA_MacroTextChar">
    <w:name w:val="QA_Macro Text Char"/>
    <w:basedOn w:val="QA_DefaultParagraphFont"/>
    <w:link w:val="QA_MacroText"/>
    <w:uiPriority w:val="99"/>
    <w:rsid w:val="0029639D"/>
    <w:rPr>
      <w:rFonts w:ascii="Courier" w:hAnsi="Courier"/>
      <w:sz w:val="20"/>
      <w:szCs w:val="20"/>
    </w:rPr>
  </w:style>
  <w:style w:type="paragraph" w:styleId="QA_Quote">
    <w:name w:val="QA_Quote"/>
    <w:basedOn w:val="QA_Normal"/>
    <w:next w:val="QA_Normal"/>
    <w:link w:val="QA_QuoteChar"/>
    <w:uiPriority w:val="29"/>
    <w:qFormat/>
    <w:rsid w:val="00FC693F"/>
    <w:rPr>
      <w:i/>
      <w:iCs/>
      <w:color w:val="000000" w:themeColor="text1"/>
    </w:rPr>
  </w:style>
  <w:style w:type="character" w:customStyle="1" w:styleId="QA_QuoteChar">
    <w:name w:val="QA_Quote Char"/>
    <w:basedOn w:val="QA_DefaultParagraphFont"/>
    <w:link w:val="QA_Quote"/>
    <w:uiPriority w:val="29"/>
    <w:rsid w:val="00FC693F"/>
    <w:rPr>
      <w:i/>
      <w:iCs/>
      <w:color w:val="000000" w:themeColor="text1"/>
    </w:rPr>
  </w:style>
  <w:style w:type="character" w:customStyle="1" w:styleId="QA_Heading4Char">
    <w:name w:val="QA_Heading 4 Char"/>
    <w:basedOn w:val="QA_DefaultParagraphFont"/>
    <w:link w:val="QA_Heading4"/>
    <w:uiPriority w:val="9"/>
    <w:semiHidden/>
    <w:rsid w:val="00FC693F"/>
    <w:rPr>
      <w:rFonts w:asciiTheme="majorHAnsi" w:eastAsiaTheme="majorEastAsia" w:hAnsiTheme="majorHAnsi" w:cstheme="majorBidi"/>
      <w:b/>
      <w:bCs/>
      <w:i/>
      <w:iCs/>
      <w:color w:val="4F81BD" w:themeColor="accent1"/>
    </w:rPr>
  </w:style>
  <w:style w:type="character" w:customStyle="1" w:styleId="QA_Heading5Char">
    <w:name w:val="QA_Heading 5 Char"/>
    <w:basedOn w:val="QA_DefaultParagraphFont"/>
    <w:link w:val="QA_Heading5"/>
    <w:uiPriority w:val="9"/>
    <w:semiHidden/>
    <w:rsid w:val="00FC693F"/>
    <w:rPr>
      <w:rFonts w:asciiTheme="majorHAnsi" w:eastAsiaTheme="majorEastAsia" w:hAnsiTheme="majorHAnsi" w:cstheme="majorBidi"/>
      <w:color w:val="243F60" w:themeColor="accent1" w:themeShade="7F"/>
    </w:rPr>
  </w:style>
  <w:style w:type="character" w:customStyle="1" w:styleId="QA_Heading6Char">
    <w:name w:val="QA_Heading 6 Char"/>
    <w:basedOn w:val="QA_DefaultParagraphFont"/>
    <w:link w:val="QA_Heading6"/>
    <w:uiPriority w:val="9"/>
    <w:semiHidden/>
    <w:rsid w:val="00FC693F"/>
    <w:rPr>
      <w:rFonts w:asciiTheme="majorHAnsi" w:eastAsiaTheme="majorEastAsia" w:hAnsiTheme="majorHAnsi" w:cstheme="majorBidi"/>
      <w:i/>
      <w:iCs/>
      <w:color w:val="243F60" w:themeColor="accent1" w:themeShade="7F"/>
    </w:rPr>
  </w:style>
  <w:style w:type="character" w:customStyle="1" w:styleId="QA_Heading7Char">
    <w:name w:val="QA_Heading 7 Char"/>
    <w:basedOn w:val="QA_DefaultParagraphFont"/>
    <w:link w:val="QA_Heading7"/>
    <w:uiPriority w:val="9"/>
    <w:semiHidden/>
    <w:rsid w:val="00FC693F"/>
    <w:rPr>
      <w:rFonts w:asciiTheme="majorHAnsi" w:eastAsiaTheme="majorEastAsia" w:hAnsiTheme="majorHAnsi" w:cstheme="majorBidi"/>
      <w:i/>
      <w:iCs/>
      <w:color w:val="404040" w:themeColor="text1" w:themeTint="BF"/>
    </w:rPr>
  </w:style>
  <w:style w:type="character" w:customStyle="1" w:styleId="QA_Heading8Char">
    <w:name w:val="QA_Heading 8 Char"/>
    <w:basedOn w:val="QA_DefaultParagraphFont"/>
    <w:link w:val="QA_Heading8"/>
    <w:uiPriority w:val="9"/>
    <w:semiHidden/>
    <w:rsid w:val="00FC693F"/>
    <w:rPr>
      <w:rFonts w:asciiTheme="majorHAnsi" w:eastAsiaTheme="majorEastAsia" w:hAnsiTheme="majorHAnsi" w:cstheme="majorBidi"/>
      <w:color w:val="4F81BD" w:themeColor="accent1"/>
      <w:sz w:val="20"/>
      <w:szCs w:val="20"/>
    </w:rPr>
  </w:style>
  <w:style w:type="character" w:customStyle="1" w:styleId="QA_Heading9Char">
    <w:name w:val="QA_Heading 9 Char"/>
    <w:basedOn w:val="QA_DefaultParagraphFont"/>
    <w:link w:val="QA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QA_Caption">
    <w:name w:val="QA_caption"/>
    <w:basedOn w:val="QA_Normal"/>
    <w:next w:val="QA_Normal"/>
    <w:uiPriority w:val="35"/>
    <w:semiHidden/>
    <w:unhideWhenUsed/>
    <w:qFormat/>
    <w:rsid w:val="00FC693F"/>
    <w:pPr>
      <w:spacing w:line="240" w:lineRule="auto"/>
    </w:pPr>
    <w:rPr>
      <w:b/>
      <w:bCs/>
      <w:color w:val="000000"/>
      <w:sz w:val="18"/>
      <w:szCs w:val="18"/>
    </w:rPr>
  </w:style>
  <w:style w:type="character" w:styleId="QA_Strong">
    <w:name w:val="QA_Strong"/>
    <w:basedOn w:val="QA_DefaultParagraphFont"/>
    <w:uiPriority w:val="22"/>
    <w:qFormat/>
    <w:rsid w:val="00FC693F"/>
    <w:rPr>
      <w:b/>
      <w:bCs/>
    </w:rPr>
  </w:style>
  <w:style w:type="character" w:styleId="QA_Emphasis">
    <w:name w:val="QA_Emphasis"/>
    <w:basedOn w:val="QA_DefaultParagraphFont"/>
    <w:uiPriority w:val="20"/>
    <w:qFormat/>
    <w:rsid w:val="00FC693F"/>
    <w:rPr>
      <w:i/>
      <w:iCs/>
    </w:rPr>
  </w:style>
  <w:style w:type="paragraph" w:styleId="QA_IntenseQuote">
    <w:name w:val="QA_Intense Quote"/>
    <w:basedOn w:val="QA_Normal"/>
    <w:next w:val="QA_Normal"/>
    <w:link w:val="QA_IntenseQuoteChar"/>
    <w:uiPriority w:val="30"/>
    <w:qFormat/>
    <w:rsid w:val="00FC693F"/>
    <w:pPr>
      <w:spacing w:before="200" w:after="280"/>
      <w:ind w:left="936" w:right="936"/>
    </w:pPr>
    <w:rPr>
      <w:b/>
      <w:bCs/>
      <w:i/>
      <w:iCs/>
      <w:color w:val="4F81BD" w:themeColor="accent1"/>
    </w:rPr>
  </w:style>
  <w:style w:type="character" w:customStyle="1" w:styleId="QA_IntenseQuoteChar">
    <w:name w:val="QA_Intense Quote Char"/>
    <w:basedOn w:val="QA_DefaultParagraphFont"/>
    <w:link w:val="QA_IntenseQuote"/>
    <w:uiPriority w:val="30"/>
    <w:rsid w:val="00FC693F"/>
    <w:rPr>
      <w:b/>
      <w:bCs/>
      <w:i/>
      <w:iCs/>
      <w:color w:val="4F81BD" w:themeColor="accent1"/>
    </w:rPr>
  </w:style>
  <w:style w:type="character" w:styleId="QA_SubtleEmphasis">
    <w:name w:val="QA_Subtle Emphasis"/>
    <w:basedOn w:val="QA_DefaultParagraphFont"/>
    <w:uiPriority w:val="19"/>
    <w:qFormat/>
    <w:rsid w:val="00FC693F"/>
    <w:rPr>
      <w:i/>
      <w:iCs/>
      <w:color w:val="808080" w:themeColor="text1" w:themeTint="7F"/>
    </w:rPr>
  </w:style>
  <w:style w:type="character" w:styleId="QA_IntenseEmphasis">
    <w:name w:val="QA_Intense Emphasis"/>
    <w:basedOn w:val="QA_DefaultParagraphFont"/>
    <w:uiPriority w:val="21"/>
    <w:qFormat/>
    <w:rsid w:val="00FC693F"/>
    <w:rPr>
      <w:b/>
      <w:bCs/>
      <w:i/>
      <w:iCs/>
      <w:color w:val="4F81BD" w:themeColor="accent1"/>
    </w:rPr>
  </w:style>
  <w:style w:type="character" w:styleId="QA_SubtleReference">
    <w:name w:val="QA_Subtle Reference"/>
    <w:basedOn w:val="QA_DefaultParagraphFont"/>
    <w:uiPriority w:val="31"/>
    <w:qFormat/>
    <w:rsid w:val="00FC693F"/>
    <w:rPr>
      <w:smallCaps/>
      <w:color w:val="C0504D" w:themeColor="accent2"/>
      <w:u w:val="single"/>
    </w:rPr>
  </w:style>
  <w:style w:type="character" w:styleId="QA_IntenseReference">
    <w:name w:val="QA_Intense Reference"/>
    <w:basedOn w:val="QA_DefaultParagraphFont"/>
    <w:uiPriority w:val="32"/>
    <w:qFormat/>
    <w:rsid w:val="00FC693F"/>
    <w:rPr>
      <w:b/>
      <w:bCs/>
      <w:smallCaps/>
      <w:color w:val="C0504D" w:themeColor="accent2"/>
      <w:spacing w:val="5"/>
      <w:u w:val="single"/>
    </w:rPr>
  </w:style>
  <w:style w:type="character" w:styleId="QA_BookTitle">
    <w:name w:val="QA_Book Title"/>
    <w:basedOn w:val="QA_DefaultParagraphFont"/>
    <w:uiPriority w:val="33"/>
    <w:qFormat/>
    <w:rsid w:val="00FC693F"/>
    <w:rPr>
      <w:b/>
      <w:bCs/>
      <w:smallCaps/>
      <w:spacing w:val="5"/>
    </w:rPr>
  </w:style>
  <w:style w:type="paragraph" w:styleId="QA_TOCHeading">
    <w:name w:val="QA_TOC Heading"/>
    <w:basedOn w:val="QA_Heading1"/>
    <w:next w:val="QA_Normal"/>
    <w:uiPriority w:val="39"/>
    <w:semiHidden/>
    <w:unhideWhenUsed/>
    <w:qFormat/>
    <w:rsid w:val="00FC693F"/>
    <w:pPr>
      <w:outlineLvl w:val="9"/>
    </w:pPr>
  </w:style>
  <w:style w:type="table" w:styleId="QA_TableGrid">
    <w:name w:val="QA_Table Grid"/>
    <w:basedOn w:val="QA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QA_LightShading">
    <w:name w:val="QA_Light Shading"/>
    <w:basedOn w:val="QA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QA_LightShading-Accent1">
    <w:name w:val="QA_Light Shading Accent 1"/>
    <w:basedOn w:val="QA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QA_LightShading-Accent2">
    <w:name w:val="QA_Light Shading Accent 2"/>
    <w:basedOn w:val="QA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QA_LightShading-Accent3">
    <w:name w:val="QA_Light Shading Accent 3"/>
    <w:basedOn w:val="QA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QA_LightShading-Accent4">
    <w:name w:val="QA_Light Shading Accent 4"/>
    <w:basedOn w:val="QA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QA_LightShading-Accent5">
    <w:name w:val="QA_Light Shading Accent 5"/>
    <w:basedOn w:val="QA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QA_LightShading-Accent6">
    <w:name w:val="QA_Light Shading Accent 6"/>
    <w:basedOn w:val="QA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QA_LightList">
    <w:name w:val="QA_Light List"/>
    <w:basedOn w:val="QA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QA_LightList-Accent1">
    <w:name w:val="QA_Light List Accent 1"/>
    <w:basedOn w:val="QA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QA_LightList-Accent2">
    <w:name w:val="QA_Light List Accent 2"/>
    <w:basedOn w:val="QA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QA_LightList-Accent3">
    <w:name w:val="QA_Light List Accent 3"/>
    <w:basedOn w:val="QA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QA_LightList-Accent4">
    <w:name w:val="QA_Light List Accent 4"/>
    <w:basedOn w:val="QA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QA_LightList-Accent5">
    <w:name w:val="QA_Light List Accent 5"/>
    <w:basedOn w:val="QA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QA_LightList-Accent6">
    <w:name w:val="QA_Light List Accent 6"/>
    <w:basedOn w:val="QA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QA_LightGrid">
    <w:name w:val="QA_Light Grid"/>
    <w:basedOn w:val="QA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QA_LightGrid-Accent1">
    <w:name w:val="QA_Light Grid Accent 1"/>
    <w:basedOn w:val="QA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QA_LightGrid-Accent2">
    <w:name w:val="QA_Light Grid Accent 2"/>
    <w:basedOn w:val="QA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QA_LightGrid-Accent3">
    <w:name w:val="QA_Light Grid Accent 3"/>
    <w:basedOn w:val="QA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QA_LightGrid-Accent4">
    <w:name w:val="QA_Light Grid Accent 4"/>
    <w:basedOn w:val="QA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QA_LightGrid-Accent5">
    <w:name w:val="QA_Light Grid Accent 5"/>
    <w:basedOn w:val="QA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QA_LightGrid-Accent6">
    <w:name w:val="QA_Light Grid Accent 6"/>
    <w:basedOn w:val="QA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QA_MediumShading1">
    <w:name w:val="QA_Medium Shading 1"/>
    <w:basedOn w:val="QA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QA_MediumShading1-Accent1">
    <w:name w:val="QA_Medium Shading 1 Accent 1"/>
    <w:basedOn w:val="QA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QA_MediumShading1-Accent2">
    <w:name w:val="QA_Medium Shading 1 Accent 2"/>
    <w:basedOn w:val="QA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QA_MediumShading1-Accent3">
    <w:name w:val="QA_Medium Shading 1 Accent 3"/>
    <w:basedOn w:val="QA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QA_MediumShading1-Accent4">
    <w:name w:val="QA_Medium Shading 1 Accent 4"/>
    <w:basedOn w:val="QA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QA_MediumShading1-Accent5">
    <w:name w:val="QA_Medium Shading 1 Accent 5"/>
    <w:basedOn w:val="QA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QA_MediumShading1-Accent6">
    <w:name w:val="QA_Medium Shading 1 Accent 6"/>
    <w:basedOn w:val="QA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QA_MediumShading2">
    <w:name w:val="QA_Medium Shading 2"/>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Shading2-Accent1">
    <w:name w:val="QA_Medium Shading 2 Accent 1"/>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Shading2-Accent2">
    <w:name w:val="QA_Medium Shading 2 Accent 2"/>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Shading2-Accent3">
    <w:name w:val="QA_Medium Shading 2 Accent 3"/>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Shading2-Accent4">
    <w:name w:val="QA_Medium Shading 2 Accent 4"/>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Shading2-Accent5">
    <w:name w:val="QA_Medium Shading 2 Accent 5"/>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Shading2-Accent6">
    <w:name w:val="QA_Medium Shading 2 Accent 6"/>
    <w:basedOn w:val="QA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QA_MediumList1">
    <w:name w:val="QA_Medium List 1"/>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QA_MediumList1-Accent1">
    <w:name w:val="QA_Medium List 1 Accent 1"/>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QA_MediumList1-Accent2">
    <w:name w:val="QA_Medium List 1 Accent 2"/>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QA_MediumList1-Accent3">
    <w:name w:val="QA_Medium List 1 Accent 3"/>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QA_MediumList1-Accent4">
    <w:name w:val="QA_Medium List 1 Accent 4"/>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QA_MediumList1-Accent5">
    <w:name w:val="QA_Medium List 1 Accent 5"/>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QA_MediumList1-Accent6">
    <w:name w:val="QA_Medium List 1 Accent 6"/>
    <w:basedOn w:val="QA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QA_MediumList2">
    <w:name w:val="QA_Medium List 2"/>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List2-Accent1">
    <w:name w:val="QA_Medium List 2 Accent 1"/>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List2-Accent2">
    <w:name w:val="QA_Medium List 2 Accent 2"/>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List2-Accent3">
    <w:name w:val="QA_Medium List 2 Accent 3"/>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List2-Accent4">
    <w:name w:val="QA_Medium List 2 Accent 4"/>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List2-Accent5">
    <w:name w:val="QA_Medium List 2 Accent 5"/>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List2-Accent6">
    <w:name w:val="QA_Medium List 2 Accent 6"/>
    <w:basedOn w:val="QA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QA_MediumGrid1">
    <w:name w:val="QA_Medium Grid 1"/>
    <w:basedOn w:val="QA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A_MediumGrid1-Accent1">
    <w:name w:val="QA_Medium Grid 1 Accent 1"/>
    <w:basedOn w:val="QA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A_MediumGrid1-Accent2">
    <w:name w:val="QA_Medium Grid 1 Accent 2"/>
    <w:basedOn w:val="QA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A_MediumGrid1-Accent3">
    <w:name w:val="QA_Medium Grid 1 Accent 3"/>
    <w:basedOn w:val="QA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A_MediumGrid1-Accent4">
    <w:name w:val="QA_Medium Grid 1 Accent 4"/>
    <w:basedOn w:val="QA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A_MediumGrid1-Accent5">
    <w:name w:val="QA_Medium Grid 1 Accent 5"/>
    <w:basedOn w:val="QA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A_MediumGrid1-Accent6">
    <w:name w:val="QA_Medium Grid 1 Accent 6"/>
    <w:basedOn w:val="QA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QA_MediumGrid2">
    <w:name w:val="QA_Medium Grid 2"/>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QA_MediumGrid2-Accent1">
    <w:name w:val="QA_Medium Grid 2 Accent 1"/>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QA_MediumGrid2-Accent2">
    <w:name w:val="QA_Medium Grid 2 Accent 2"/>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QA_MediumGrid2-Accent3">
    <w:name w:val="QA_Medium Grid 2 Accent 3"/>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QA_MediumGrid2-Accent4">
    <w:name w:val="QA_Medium Grid 2 Accent 4"/>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QA_MediumGrid2-Accent5">
    <w:name w:val="QA_Medium Grid 2 Accent 5"/>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QA_MediumGrid2-Accent6">
    <w:name w:val="QA_Medium Grid 2 Accent 6"/>
    <w:basedOn w:val="QA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QA_MediumGrid3">
    <w:name w:val="QA_Medium Grid 3"/>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QA_MediumGrid3-Accent1">
    <w:name w:val="QA_Medium Grid 3 Accent 1"/>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QA_MediumGrid3-Accent2">
    <w:name w:val="QA_Medium Grid 3 Accent 2"/>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QA_MediumGrid3-Accent3">
    <w:name w:val="QA_Medium Grid 3 Accent 3"/>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QA_MediumGrid3-Accent4">
    <w:name w:val="QA_Medium Grid 3 Accent 4"/>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QA_MediumGrid3-Accent5">
    <w:name w:val="QA_Medium Grid 3 Accent 5"/>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QA_MediumGrid3-Accent6">
    <w:name w:val="QA_Medium Grid 3 Accent 6"/>
    <w:basedOn w:val="QA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QA_DarkList">
    <w:name w:val="QA_Dark List"/>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QA_DarkList-Accent1">
    <w:name w:val="QA_Dark List Accent 1"/>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QA_DarkList-Accent2">
    <w:name w:val="QA_Dark List Accent 2"/>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QA_DarkList-Accent3">
    <w:name w:val="QA_Dark List Accent 3"/>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QA_DarkList-Accent4">
    <w:name w:val="QA_Dark List Accent 4"/>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QA_DarkList-Accent5">
    <w:name w:val="QA_Dark List Accent 5"/>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QA_DarkList-Accent6">
    <w:name w:val="QA_Dark List Accent 6"/>
    <w:basedOn w:val="QA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QA_ColorfulShading">
    <w:name w:val="QA_Colorful Shading"/>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QA_ColorfulShading-Accent1">
    <w:name w:val="QA_Colorful Shading Accent 1"/>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QA_ColorfulShading-Accent2">
    <w:name w:val="QA_Colorful Shading Accent 2"/>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QA_ColorfulShading-Accent3">
    <w:name w:val="QA_Colorful Shading Accent 3"/>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QA_ColorfulShading-Accent4">
    <w:name w:val="QA_Colorful Shading Accent 4"/>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QA_ColorfulShading-Accent5">
    <w:name w:val="QA_Colorful Shading Accent 5"/>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QA_ColorfulShading-Accent6">
    <w:name w:val="QA_Colorful Shading Accent 6"/>
    <w:basedOn w:val="QA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QA_ColorfulList">
    <w:name w:val="QA_Colorful List"/>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QA_ColorfulList-Accent1">
    <w:name w:val="QA_Colorful List Accent 1"/>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QA_ColorfulList-Accent2">
    <w:name w:val="QA_Colorful List Accent 2"/>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QA_ColorfulList-Accent3">
    <w:name w:val="QA_Colorful List Accent 3"/>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QA_ColorfulList-Accent4">
    <w:name w:val="QA_Colorful List Accent 4"/>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QA_ColorfulList-Accent5">
    <w:name w:val="QA_Colorful List Accent 5"/>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QA_ColorfulList-Accent6">
    <w:name w:val="QA_Colorful List Accent 6"/>
    <w:basedOn w:val="QA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QA_ColorfulGrid">
    <w:name w:val="QA_Colorful Grid"/>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A_ColorfulGrid-Accent1">
    <w:name w:val="QA_Colorful Grid Accent 1"/>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A_ColorfulGrid-Accent2">
    <w:name w:val="QA_Colorful Grid Accent 2"/>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A_ColorfulGrid-Accent3">
    <w:name w:val="QA_Colorful Grid Accent 3"/>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A_ColorfulGrid-Accent4">
    <w:name w:val="QA_Colorful Grid Accent 4"/>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A_ColorfulGrid-Accent5">
    <w:name w:val="QA_Colorful Grid Accent 5"/>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A_ColorfulGrid-Accent6">
    <w:name w:val="QA_Colorful Grid Accent 6"/>
    <w:basedOn w:val="QA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Svc0_Normal">
    <w:name w:val="Svc0_Normal"/>
    <w:qFormat/>
    <w:rsid w:val="00FC693F"/>
    <w:pPr>
      <w:spacing w:after="140" w:line="254" w:lineRule="auto"/>
    </w:pPr>
    <w:rPr>
      <w:rFonts w:ascii="Calibri" w:hAnsi="Calibri"/>
      <w:color w:val="000000"/>
      <w:sz w:val="21"/>
    </w:rPr>
  </w:style>
  <w:style w:type="paragraph" w:styleId="Svc0_Header">
    <w:name w:val="Svc0_header"/>
    <w:basedOn w:val="Svc0_Normal"/>
    <w:link w:val="Svc0_HeaderChar"/>
    <w:uiPriority w:val="99"/>
    <w:unhideWhenUsed/>
    <w:rsid w:val="00E618BF"/>
    <w:pPr>
      <w:tabs>
        <w:tab w:val="center" w:pos="4680"/>
        <w:tab w:val="right" w:pos="9360"/>
      </w:tabs>
      <w:spacing w:after="0" w:line="240" w:lineRule="auto"/>
    </w:pPr>
  </w:style>
  <w:style w:type="character" w:customStyle="1" w:styleId="Svc0_HeaderChar">
    <w:name w:val="Svc0_Header Char"/>
    <w:basedOn w:val="Svc0_DefaultParagraphFont"/>
    <w:link w:val="Svc0_Header"/>
    <w:uiPriority w:val="99"/>
    <w:rsid w:val="00E618BF"/>
  </w:style>
  <w:style w:type="paragraph" w:styleId="Svc0_Footer">
    <w:name w:val="Svc0_footer"/>
    <w:basedOn w:val="Svc0_Normal"/>
    <w:link w:val="Svc0_FooterChar"/>
    <w:uiPriority w:val="99"/>
    <w:unhideWhenUsed/>
    <w:rsid w:val="00E618BF"/>
    <w:pPr>
      <w:tabs>
        <w:tab w:val="center" w:pos="4680"/>
        <w:tab w:val="right" w:pos="9360"/>
      </w:tabs>
      <w:spacing w:after="0" w:line="240" w:lineRule="auto"/>
    </w:pPr>
  </w:style>
  <w:style w:type="character" w:customStyle="1" w:styleId="Svc0_FooterChar">
    <w:name w:val="Svc0_Footer Char"/>
    <w:basedOn w:val="Svc0_DefaultParagraphFont"/>
    <w:link w:val="Svc0_Footer"/>
    <w:uiPriority w:val="99"/>
    <w:rsid w:val="00E618BF"/>
  </w:style>
  <w:style w:type="paragraph" w:styleId="Svc0_Heading1">
    <w:name w:val="Svc0_heading 1"/>
    <w:basedOn w:val="Svc0_Normal"/>
    <w:next w:val="Svc0_Normal"/>
    <w:link w:val="Svc0_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Svc0_Heading2">
    <w:name w:val="Svc0_heading 2"/>
    <w:basedOn w:val="Svc0_Normal"/>
    <w:next w:val="Svc0_Normal"/>
    <w:link w:val="Svc0_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Svc0_Heading3">
    <w:name w:val="Svc0_heading 3"/>
    <w:basedOn w:val="Svc0_Normal"/>
    <w:next w:val="Svc0_Normal"/>
    <w:link w:val="Svc0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Svc0_Heading4">
    <w:name w:val="Svc0_heading 4"/>
    <w:basedOn w:val="Svc0_Normal"/>
    <w:next w:val="Svc0_Normal"/>
    <w:link w:val="Svc0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Svc0_Heading5">
    <w:name w:val="Svc0_heading 5"/>
    <w:basedOn w:val="Svc0_Normal"/>
    <w:next w:val="Svc0_Normal"/>
    <w:link w:val="Svc0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Svc0_Heading6">
    <w:name w:val="Svc0_heading 6"/>
    <w:basedOn w:val="Svc0_Normal"/>
    <w:next w:val="Svc0_Normal"/>
    <w:link w:val="Svc0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Svc0_Heading7">
    <w:name w:val="Svc0_heading 7"/>
    <w:basedOn w:val="Svc0_Normal"/>
    <w:next w:val="Svc0_Normal"/>
    <w:link w:val="Svc0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Svc0_Heading8">
    <w:name w:val="Svc0_heading 8"/>
    <w:basedOn w:val="Svc0_Normal"/>
    <w:next w:val="Svc0_Normal"/>
    <w:link w:val="Svc0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Svc0_Heading9">
    <w:name w:val="Svc0_heading 9"/>
    <w:basedOn w:val="Svc0_Normal"/>
    <w:next w:val="Svc0_Normal"/>
    <w:link w:val="Svc0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vc0_DefaultParagraphFont">
    <w:name w:val="Svc0_Default Paragraph Font"/>
    <w:uiPriority w:val="1"/>
    <w:semiHidden/>
    <w:unhideWhenUsed/>
  </w:style>
  <w:style w:type="table" w:default="1" w:styleId="Svc0_TableNormal">
    <w:name w:val="Svc0_Normal Table"/>
    <w:uiPriority w:val="99"/>
    <w:semiHidden/>
    <w:unhideWhenUsed/>
    <w:tblPr>
      <w:tblInd w:w="0" w:type="dxa"/>
      <w:tblCellMar>
        <w:top w:w="0" w:type="dxa"/>
        <w:left w:w="108" w:type="dxa"/>
        <w:bottom w:w="0" w:type="dxa"/>
        <w:right w:w="108" w:type="dxa"/>
      </w:tblCellMar>
    </w:tblPr>
  </w:style>
  <w:style w:type="numbering" w:default="1" w:styleId="Svc0_NoList">
    <w:name w:val="Svc0_No List"/>
    <w:uiPriority w:val="99"/>
    <w:semiHidden/>
    <w:unhideWhenUsed/>
  </w:style>
  <w:style w:type="paragraph" w:styleId="Svc0_NoSpacing">
    <w:name w:val="Svc0_No Spacing"/>
    <w:uiPriority w:val="1"/>
    <w:qFormat/>
    <w:rsid w:val="00FC693F"/>
    <w:pPr>
      <w:spacing w:after="0" w:line="240" w:lineRule="auto"/>
    </w:pPr>
  </w:style>
  <w:style w:type="character" w:customStyle="1" w:styleId="Svc0_Heading1Char">
    <w:name w:val="Svc0_Heading 1 Char"/>
    <w:basedOn w:val="Svc0_DefaultParagraphFont"/>
    <w:link w:val="Svc0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Svc0_Heading2Char">
    <w:name w:val="Svc0_Heading 2 Char"/>
    <w:basedOn w:val="Svc0_DefaultParagraphFont"/>
    <w:link w:val="Svc0_Heading2"/>
    <w:uiPriority w:val="9"/>
    <w:rsid w:val="00FC693F"/>
    <w:rPr>
      <w:rFonts w:asciiTheme="majorHAnsi" w:eastAsiaTheme="majorEastAsia" w:hAnsiTheme="majorHAnsi" w:cstheme="majorBidi"/>
      <w:b/>
      <w:bCs/>
      <w:color w:val="4F81BD" w:themeColor="accent1"/>
      <w:sz w:val="26"/>
      <w:szCs w:val="26"/>
    </w:rPr>
  </w:style>
  <w:style w:type="character" w:customStyle="1" w:styleId="Svc0_Heading3Char">
    <w:name w:val="Svc0_Heading 3 Char"/>
    <w:basedOn w:val="Svc0_DefaultParagraphFont"/>
    <w:link w:val="Svc0_Heading3"/>
    <w:uiPriority w:val="9"/>
    <w:rsid w:val="00FC693F"/>
    <w:rPr>
      <w:rFonts w:asciiTheme="majorHAnsi" w:eastAsiaTheme="majorEastAsia" w:hAnsiTheme="majorHAnsi" w:cstheme="majorBidi"/>
      <w:b/>
      <w:bCs/>
      <w:color w:val="4F81BD" w:themeColor="accent1"/>
    </w:rPr>
  </w:style>
  <w:style w:type="paragraph" w:styleId="Svc0_Title">
    <w:name w:val="Svc0_Title"/>
    <w:basedOn w:val="Svc0_Normal"/>
    <w:next w:val="Svc0_Normal"/>
    <w:link w:val="Svc0_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Svc0_TitleChar">
    <w:name w:val="Svc0_Title Char"/>
    <w:basedOn w:val="Svc0_DefaultParagraphFont"/>
    <w:link w:val="Svc0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vc0_Subtitle">
    <w:name w:val="Svc0_Subtitle"/>
    <w:basedOn w:val="Svc0_Normal"/>
    <w:next w:val="Svc0_Normal"/>
    <w:link w:val="Svc0_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vc0_SubtitleChar">
    <w:name w:val="Svc0_Subtitle Char"/>
    <w:basedOn w:val="Svc0_DefaultParagraphFont"/>
    <w:link w:val="Svc0_Subtitle"/>
    <w:uiPriority w:val="11"/>
    <w:rsid w:val="00FC693F"/>
    <w:rPr>
      <w:rFonts w:asciiTheme="majorHAnsi" w:eastAsiaTheme="majorEastAsia" w:hAnsiTheme="majorHAnsi" w:cstheme="majorBidi"/>
      <w:i/>
      <w:iCs/>
      <w:color w:val="4F81BD" w:themeColor="accent1"/>
      <w:spacing w:val="15"/>
      <w:sz w:val="24"/>
      <w:szCs w:val="24"/>
    </w:rPr>
  </w:style>
  <w:style w:type="paragraph" w:styleId="Svc0_ListParagraph">
    <w:name w:val="Svc0_List Paragraph"/>
    <w:basedOn w:val="Svc0_Normal"/>
    <w:uiPriority w:val="34"/>
    <w:qFormat/>
    <w:rsid w:val="00FC693F"/>
    <w:pPr>
      <w:ind w:left="720"/>
      <w:contextualSpacing/>
    </w:pPr>
  </w:style>
  <w:style w:type="paragraph" w:styleId="Svc0_BodyText">
    <w:name w:val="Svc0_Body Text"/>
    <w:basedOn w:val="Svc0_Normal"/>
    <w:link w:val="Svc0_BodyTextChar"/>
    <w:uiPriority w:val="99"/>
    <w:unhideWhenUsed/>
    <w:rsid w:val="00AA1D8D"/>
    <w:pPr>
      <w:spacing w:after="120"/>
    </w:pPr>
  </w:style>
  <w:style w:type="character" w:customStyle="1" w:styleId="Svc0_BodyTextChar">
    <w:name w:val="Svc0_Body Text Char"/>
    <w:basedOn w:val="Svc0_DefaultParagraphFont"/>
    <w:link w:val="Svc0_BodyText"/>
    <w:uiPriority w:val="99"/>
    <w:rsid w:val="00AA1D8D"/>
  </w:style>
  <w:style w:type="paragraph" w:styleId="Svc0_BodyText2">
    <w:name w:val="Svc0_Body Text 2"/>
    <w:basedOn w:val="Svc0_Normal"/>
    <w:link w:val="Svc0_BodyText2Char"/>
    <w:uiPriority w:val="99"/>
    <w:unhideWhenUsed/>
    <w:rsid w:val="00AA1D8D"/>
    <w:pPr>
      <w:spacing w:after="120" w:line="480" w:lineRule="auto"/>
    </w:pPr>
  </w:style>
  <w:style w:type="character" w:customStyle="1" w:styleId="Svc0_BodyText2Char">
    <w:name w:val="Svc0_Body Text 2 Char"/>
    <w:basedOn w:val="Svc0_DefaultParagraphFont"/>
    <w:link w:val="Svc0_BodyText2"/>
    <w:uiPriority w:val="99"/>
    <w:rsid w:val="00AA1D8D"/>
  </w:style>
  <w:style w:type="paragraph" w:styleId="Svc0_BodyText3">
    <w:name w:val="Svc0_Body Text 3"/>
    <w:basedOn w:val="Svc0_Normal"/>
    <w:link w:val="Svc0_BodyText3Char"/>
    <w:uiPriority w:val="99"/>
    <w:unhideWhenUsed/>
    <w:rsid w:val="00AA1D8D"/>
    <w:pPr>
      <w:spacing w:after="120"/>
    </w:pPr>
    <w:rPr>
      <w:sz w:val="16"/>
      <w:szCs w:val="16"/>
    </w:rPr>
  </w:style>
  <w:style w:type="character" w:customStyle="1" w:styleId="Svc0_BodyText3Char">
    <w:name w:val="Svc0_Body Text 3 Char"/>
    <w:basedOn w:val="Svc0_DefaultParagraphFont"/>
    <w:link w:val="Svc0_BodyText3"/>
    <w:uiPriority w:val="99"/>
    <w:rsid w:val="00AA1D8D"/>
    <w:rPr>
      <w:sz w:val="16"/>
      <w:szCs w:val="16"/>
    </w:rPr>
  </w:style>
  <w:style w:type="paragraph" w:styleId="Svc0_List">
    <w:name w:val="Svc0_List"/>
    <w:basedOn w:val="Svc0_Normal"/>
    <w:uiPriority w:val="99"/>
    <w:unhideWhenUsed/>
    <w:rsid w:val="00AA1D8D"/>
    <w:pPr>
      <w:ind w:left="360" w:hanging="360"/>
      <w:contextualSpacing/>
    </w:pPr>
  </w:style>
  <w:style w:type="paragraph" w:styleId="Svc0_List2">
    <w:name w:val="Svc0_List 2"/>
    <w:basedOn w:val="Svc0_Normal"/>
    <w:uiPriority w:val="99"/>
    <w:unhideWhenUsed/>
    <w:rsid w:val="00326F90"/>
    <w:pPr>
      <w:ind w:left="720" w:hanging="360"/>
      <w:contextualSpacing/>
    </w:pPr>
  </w:style>
  <w:style w:type="paragraph" w:styleId="Svc0_List3">
    <w:name w:val="Svc0_List 3"/>
    <w:basedOn w:val="Svc0_Normal"/>
    <w:uiPriority w:val="99"/>
    <w:unhideWhenUsed/>
    <w:rsid w:val="00326F90"/>
    <w:pPr>
      <w:ind w:left="1080" w:hanging="360"/>
      <w:contextualSpacing/>
    </w:pPr>
  </w:style>
  <w:style w:type="paragraph" w:styleId="Svc0_ListBullet">
    <w:name w:val="Svc0_List Bullet"/>
    <w:basedOn w:val="Svc0_Normal"/>
    <w:uiPriority w:val="99"/>
    <w:unhideWhenUsed/>
    <w:rsid w:val="00326F90"/>
    <w:pPr>
      <w:numPr>
        <w:numId w:val="1"/>
      </w:numPr>
      <w:contextualSpacing/>
    </w:pPr>
  </w:style>
  <w:style w:type="paragraph" w:styleId="Svc0_ListBullet2">
    <w:name w:val="Svc0_List Bullet 2"/>
    <w:basedOn w:val="Svc0_Normal"/>
    <w:uiPriority w:val="99"/>
    <w:unhideWhenUsed/>
    <w:rsid w:val="00326F90"/>
    <w:pPr>
      <w:numPr>
        <w:numId w:val="2"/>
      </w:numPr>
      <w:contextualSpacing/>
    </w:pPr>
  </w:style>
  <w:style w:type="paragraph" w:styleId="Svc0_ListBullet3">
    <w:name w:val="Svc0_List Bullet 3"/>
    <w:basedOn w:val="Svc0_Normal"/>
    <w:uiPriority w:val="99"/>
    <w:unhideWhenUsed/>
    <w:rsid w:val="00326F90"/>
    <w:pPr>
      <w:numPr>
        <w:numId w:val="3"/>
      </w:numPr>
      <w:contextualSpacing/>
    </w:pPr>
  </w:style>
  <w:style w:type="paragraph" w:styleId="Svc0_ListNumber">
    <w:name w:val="Svc0_List Number"/>
    <w:basedOn w:val="Svc0_Normal"/>
    <w:uiPriority w:val="99"/>
    <w:unhideWhenUsed/>
    <w:rsid w:val="00326F90"/>
    <w:pPr>
      <w:numPr>
        <w:numId w:val="5"/>
      </w:numPr>
      <w:contextualSpacing/>
    </w:pPr>
  </w:style>
  <w:style w:type="paragraph" w:styleId="Svc0_ListNumber2">
    <w:name w:val="Svc0_List Number 2"/>
    <w:basedOn w:val="Svc0_Normal"/>
    <w:uiPriority w:val="99"/>
    <w:unhideWhenUsed/>
    <w:rsid w:val="0029639D"/>
    <w:pPr>
      <w:numPr>
        <w:numId w:val="6"/>
      </w:numPr>
      <w:contextualSpacing/>
    </w:pPr>
  </w:style>
  <w:style w:type="paragraph" w:styleId="Svc0_ListNumber3">
    <w:name w:val="Svc0_List Number 3"/>
    <w:basedOn w:val="Svc0_Normal"/>
    <w:uiPriority w:val="99"/>
    <w:unhideWhenUsed/>
    <w:rsid w:val="0029639D"/>
    <w:pPr>
      <w:numPr>
        <w:numId w:val="7"/>
      </w:numPr>
      <w:contextualSpacing/>
    </w:pPr>
  </w:style>
  <w:style w:type="paragraph" w:styleId="Svc0_ListContinue">
    <w:name w:val="Svc0_List Continue"/>
    <w:basedOn w:val="Svc0_Normal"/>
    <w:uiPriority w:val="99"/>
    <w:unhideWhenUsed/>
    <w:rsid w:val="0029639D"/>
    <w:pPr>
      <w:spacing w:after="120"/>
      <w:ind w:left="360"/>
      <w:contextualSpacing/>
    </w:pPr>
  </w:style>
  <w:style w:type="paragraph" w:styleId="Svc0_ListContinue2">
    <w:name w:val="Svc0_List Continue 2"/>
    <w:basedOn w:val="Svc0_Normal"/>
    <w:uiPriority w:val="99"/>
    <w:unhideWhenUsed/>
    <w:rsid w:val="0029639D"/>
    <w:pPr>
      <w:spacing w:after="120"/>
      <w:ind w:left="720"/>
      <w:contextualSpacing/>
    </w:pPr>
  </w:style>
  <w:style w:type="paragraph" w:styleId="Svc0_ListContinue3">
    <w:name w:val="Svc0_List Continue 3"/>
    <w:basedOn w:val="Svc0_Normal"/>
    <w:uiPriority w:val="99"/>
    <w:unhideWhenUsed/>
    <w:rsid w:val="0029639D"/>
    <w:pPr>
      <w:spacing w:after="120"/>
      <w:ind w:left="1080"/>
      <w:contextualSpacing/>
    </w:pPr>
  </w:style>
  <w:style w:type="paragraph" w:styleId="Svc0_MacroText">
    <w:name w:val="Svc0_macro"/>
    <w:link w:val="Svc0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Svc0_MacroTextChar">
    <w:name w:val="Svc0_Macro Text Char"/>
    <w:basedOn w:val="Svc0_DefaultParagraphFont"/>
    <w:link w:val="Svc0_MacroText"/>
    <w:uiPriority w:val="99"/>
    <w:rsid w:val="0029639D"/>
    <w:rPr>
      <w:rFonts w:ascii="Courier" w:hAnsi="Courier"/>
      <w:sz w:val="20"/>
      <w:szCs w:val="20"/>
    </w:rPr>
  </w:style>
  <w:style w:type="paragraph" w:styleId="Svc0_Quote">
    <w:name w:val="Svc0_Quote"/>
    <w:basedOn w:val="Svc0_Normal"/>
    <w:next w:val="Svc0_Normal"/>
    <w:link w:val="Svc0_QuoteChar"/>
    <w:uiPriority w:val="29"/>
    <w:qFormat/>
    <w:rsid w:val="00FC693F"/>
    <w:rPr>
      <w:i/>
      <w:iCs/>
      <w:color w:val="000000" w:themeColor="text1"/>
    </w:rPr>
  </w:style>
  <w:style w:type="character" w:customStyle="1" w:styleId="Svc0_QuoteChar">
    <w:name w:val="Svc0_Quote Char"/>
    <w:basedOn w:val="Svc0_DefaultParagraphFont"/>
    <w:link w:val="Svc0_Quote"/>
    <w:uiPriority w:val="29"/>
    <w:rsid w:val="00FC693F"/>
    <w:rPr>
      <w:i/>
      <w:iCs/>
      <w:color w:val="000000" w:themeColor="text1"/>
    </w:rPr>
  </w:style>
  <w:style w:type="character" w:customStyle="1" w:styleId="Svc0_Heading4Char">
    <w:name w:val="Svc0_Heading 4 Char"/>
    <w:basedOn w:val="Svc0_DefaultParagraphFont"/>
    <w:link w:val="Svc0_Heading4"/>
    <w:uiPriority w:val="9"/>
    <w:semiHidden/>
    <w:rsid w:val="00FC693F"/>
    <w:rPr>
      <w:rFonts w:asciiTheme="majorHAnsi" w:eastAsiaTheme="majorEastAsia" w:hAnsiTheme="majorHAnsi" w:cstheme="majorBidi"/>
      <w:b/>
      <w:bCs/>
      <w:i/>
      <w:iCs/>
      <w:color w:val="4F81BD" w:themeColor="accent1"/>
    </w:rPr>
  </w:style>
  <w:style w:type="character" w:customStyle="1" w:styleId="Svc0_Heading5Char">
    <w:name w:val="Svc0_Heading 5 Char"/>
    <w:basedOn w:val="Svc0_DefaultParagraphFont"/>
    <w:link w:val="Svc0_Heading5"/>
    <w:uiPriority w:val="9"/>
    <w:semiHidden/>
    <w:rsid w:val="00FC693F"/>
    <w:rPr>
      <w:rFonts w:asciiTheme="majorHAnsi" w:eastAsiaTheme="majorEastAsia" w:hAnsiTheme="majorHAnsi" w:cstheme="majorBidi"/>
      <w:color w:val="243F60" w:themeColor="accent1" w:themeShade="7F"/>
    </w:rPr>
  </w:style>
  <w:style w:type="character" w:customStyle="1" w:styleId="Svc0_Heading6Char">
    <w:name w:val="Svc0_Heading 6 Char"/>
    <w:basedOn w:val="Svc0_DefaultParagraphFont"/>
    <w:link w:val="Svc0_Heading6"/>
    <w:uiPriority w:val="9"/>
    <w:semiHidden/>
    <w:rsid w:val="00FC693F"/>
    <w:rPr>
      <w:rFonts w:asciiTheme="majorHAnsi" w:eastAsiaTheme="majorEastAsia" w:hAnsiTheme="majorHAnsi" w:cstheme="majorBidi"/>
      <w:i/>
      <w:iCs/>
      <w:color w:val="243F60" w:themeColor="accent1" w:themeShade="7F"/>
    </w:rPr>
  </w:style>
  <w:style w:type="character" w:customStyle="1" w:styleId="Svc0_Heading7Char">
    <w:name w:val="Svc0_Heading 7 Char"/>
    <w:basedOn w:val="Svc0_DefaultParagraphFont"/>
    <w:link w:val="Svc0_Heading7"/>
    <w:uiPriority w:val="9"/>
    <w:semiHidden/>
    <w:rsid w:val="00FC693F"/>
    <w:rPr>
      <w:rFonts w:asciiTheme="majorHAnsi" w:eastAsiaTheme="majorEastAsia" w:hAnsiTheme="majorHAnsi" w:cstheme="majorBidi"/>
      <w:i/>
      <w:iCs/>
      <w:color w:val="404040" w:themeColor="text1" w:themeTint="BF"/>
    </w:rPr>
  </w:style>
  <w:style w:type="character" w:customStyle="1" w:styleId="Svc0_Heading8Char">
    <w:name w:val="Svc0_Heading 8 Char"/>
    <w:basedOn w:val="Svc0_DefaultParagraphFont"/>
    <w:link w:val="Svc0_Heading8"/>
    <w:uiPriority w:val="9"/>
    <w:semiHidden/>
    <w:rsid w:val="00FC693F"/>
    <w:rPr>
      <w:rFonts w:asciiTheme="majorHAnsi" w:eastAsiaTheme="majorEastAsia" w:hAnsiTheme="majorHAnsi" w:cstheme="majorBidi"/>
      <w:color w:val="4F81BD" w:themeColor="accent1"/>
      <w:sz w:val="20"/>
      <w:szCs w:val="20"/>
    </w:rPr>
  </w:style>
  <w:style w:type="character" w:customStyle="1" w:styleId="Svc0_Heading9Char">
    <w:name w:val="Svc0_Heading 9 Char"/>
    <w:basedOn w:val="Svc0_DefaultParagraphFont"/>
    <w:link w:val="Svc0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Svc0_Caption">
    <w:name w:val="Svc0_caption"/>
    <w:basedOn w:val="Svc0_Normal"/>
    <w:next w:val="Svc0_Normal"/>
    <w:uiPriority w:val="35"/>
    <w:semiHidden/>
    <w:unhideWhenUsed/>
    <w:qFormat/>
    <w:rsid w:val="00FC693F"/>
    <w:pPr>
      <w:spacing w:line="240" w:lineRule="auto"/>
    </w:pPr>
    <w:rPr>
      <w:b/>
      <w:bCs/>
      <w:color w:val="4F81BD" w:themeColor="accent1"/>
      <w:sz w:val="18"/>
      <w:szCs w:val="18"/>
    </w:rPr>
  </w:style>
  <w:style w:type="character" w:styleId="Svc0_Strong">
    <w:name w:val="Svc0_Strong"/>
    <w:basedOn w:val="Svc0_DefaultParagraphFont"/>
    <w:uiPriority w:val="22"/>
    <w:qFormat/>
    <w:rsid w:val="00FC693F"/>
    <w:rPr>
      <w:b/>
      <w:bCs/>
    </w:rPr>
  </w:style>
  <w:style w:type="character" w:styleId="Svc0_Emphasis">
    <w:name w:val="Svc0_Emphasis"/>
    <w:basedOn w:val="Svc0_DefaultParagraphFont"/>
    <w:uiPriority w:val="20"/>
    <w:qFormat/>
    <w:rsid w:val="00FC693F"/>
    <w:rPr>
      <w:i/>
      <w:iCs/>
    </w:rPr>
  </w:style>
  <w:style w:type="paragraph" w:styleId="Svc0_IntenseQuote">
    <w:name w:val="Svc0_Intense Quote"/>
    <w:basedOn w:val="Svc0_Normal"/>
    <w:next w:val="Svc0_Normal"/>
    <w:link w:val="Svc0_IntenseQuoteChar"/>
    <w:uiPriority w:val="30"/>
    <w:qFormat/>
    <w:rsid w:val="00FC693F"/>
    <w:pPr>
      <w:spacing w:before="200" w:after="280"/>
      <w:ind w:left="936" w:right="936"/>
    </w:pPr>
    <w:rPr>
      <w:b/>
      <w:bCs/>
      <w:i/>
      <w:iCs/>
      <w:color w:val="4F81BD" w:themeColor="accent1"/>
    </w:rPr>
  </w:style>
  <w:style w:type="character" w:customStyle="1" w:styleId="Svc0_IntenseQuoteChar">
    <w:name w:val="Svc0_Intense Quote Char"/>
    <w:basedOn w:val="Svc0_DefaultParagraphFont"/>
    <w:link w:val="Svc0_IntenseQuote"/>
    <w:uiPriority w:val="30"/>
    <w:rsid w:val="00FC693F"/>
    <w:rPr>
      <w:b/>
      <w:bCs/>
      <w:i/>
      <w:iCs/>
      <w:color w:val="4F81BD" w:themeColor="accent1"/>
    </w:rPr>
  </w:style>
  <w:style w:type="character" w:styleId="Svc0_SubtleEmphasis">
    <w:name w:val="Svc0_Subtle Emphasis"/>
    <w:basedOn w:val="Svc0_DefaultParagraphFont"/>
    <w:uiPriority w:val="19"/>
    <w:qFormat/>
    <w:rsid w:val="00FC693F"/>
    <w:rPr>
      <w:i/>
      <w:iCs/>
      <w:color w:val="808080" w:themeColor="text1" w:themeTint="7F"/>
    </w:rPr>
  </w:style>
  <w:style w:type="character" w:styleId="Svc0_IntenseEmphasis">
    <w:name w:val="Svc0_Intense Emphasis"/>
    <w:basedOn w:val="Svc0_DefaultParagraphFont"/>
    <w:uiPriority w:val="21"/>
    <w:qFormat/>
    <w:rsid w:val="00FC693F"/>
    <w:rPr>
      <w:b/>
      <w:bCs/>
      <w:i/>
      <w:iCs/>
      <w:color w:val="4F81BD" w:themeColor="accent1"/>
    </w:rPr>
  </w:style>
  <w:style w:type="character" w:styleId="Svc0_SubtleReference">
    <w:name w:val="Svc0_Subtle Reference"/>
    <w:basedOn w:val="Svc0_DefaultParagraphFont"/>
    <w:uiPriority w:val="31"/>
    <w:qFormat/>
    <w:rsid w:val="00FC693F"/>
    <w:rPr>
      <w:smallCaps/>
      <w:color w:val="C0504D" w:themeColor="accent2"/>
      <w:u w:val="single"/>
    </w:rPr>
  </w:style>
  <w:style w:type="character" w:styleId="Svc0_IntenseReference">
    <w:name w:val="Svc0_Intense Reference"/>
    <w:basedOn w:val="Svc0_DefaultParagraphFont"/>
    <w:uiPriority w:val="32"/>
    <w:qFormat/>
    <w:rsid w:val="00FC693F"/>
    <w:rPr>
      <w:b/>
      <w:bCs/>
      <w:smallCaps/>
      <w:color w:val="C0504D" w:themeColor="accent2"/>
      <w:spacing w:val="5"/>
      <w:u w:val="single"/>
    </w:rPr>
  </w:style>
  <w:style w:type="character" w:styleId="Svc0_BookTitle">
    <w:name w:val="Svc0_Book Title"/>
    <w:basedOn w:val="Svc0_DefaultParagraphFont"/>
    <w:uiPriority w:val="33"/>
    <w:qFormat/>
    <w:rsid w:val="00FC693F"/>
    <w:rPr>
      <w:b/>
      <w:bCs/>
      <w:smallCaps/>
      <w:spacing w:val="5"/>
    </w:rPr>
  </w:style>
  <w:style w:type="paragraph" w:styleId="Svc0_TOCHeading">
    <w:name w:val="Svc0_TOC Heading"/>
    <w:basedOn w:val="Svc0_Heading1"/>
    <w:next w:val="Svc0_Normal"/>
    <w:uiPriority w:val="39"/>
    <w:semiHidden/>
    <w:unhideWhenUsed/>
    <w:qFormat/>
    <w:rsid w:val="00FC693F"/>
    <w:pPr>
      <w:outlineLvl w:val="9"/>
    </w:pPr>
  </w:style>
  <w:style w:type="table" w:styleId="Svc0_TableGrid">
    <w:name w:val="Svc0_Table Grid"/>
    <w:basedOn w:val="Svc0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c0_LightShading">
    <w:name w:val="Svc0_Light Shading"/>
    <w:basedOn w:val="Svc0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c0_LightShading-Accent1">
    <w:name w:val="Svc0_Light Shading Accent 1"/>
    <w:basedOn w:val="Svc0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c0_LightShading-Accent2">
    <w:name w:val="Svc0_Light Shading Accent 2"/>
    <w:basedOn w:val="Svc0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c0_LightShading-Accent3">
    <w:name w:val="Svc0_Light Shading Accent 3"/>
    <w:basedOn w:val="Svc0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c0_LightShading-Accent4">
    <w:name w:val="Svc0_Light Shading Accent 4"/>
    <w:basedOn w:val="Svc0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c0_LightShading-Accent5">
    <w:name w:val="Svc0_Light Shading Accent 5"/>
    <w:basedOn w:val="Svc0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c0_LightShading-Accent6">
    <w:name w:val="Svc0_Light Shading Accent 6"/>
    <w:basedOn w:val="Svc0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c0_LightList">
    <w:name w:val="Svc0_Light List"/>
    <w:basedOn w:val="Svc0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c0_LightList-Accent1">
    <w:name w:val="Svc0_Light List Accent 1"/>
    <w:basedOn w:val="Svc0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c0_LightList-Accent2">
    <w:name w:val="Svc0_Light List Accent 2"/>
    <w:basedOn w:val="Svc0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c0_LightList-Accent3">
    <w:name w:val="Svc0_Light List Accent 3"/>
    <w:basedOn w:val="Svc0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c0_LightList-Accent4">
    <w:name w:val="Svc0_Light List Accent 4"/>
    <w:basedOn w:val="Svc0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c0_LightList-Accent5">
    <w:name w:val="Svc0_Light List Accent 5"/>
    <w:basedOn w:val="Svc0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c0_LightList-Accent6">
    <w:name w:val="Svc0_Light List Accent 6"/>
    <w:basedOn w:val="Svc0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c0_LightGrid">
    <w:name w:val="Svc0_Light Grid"/>
    <w:basedOn w:val="Svc0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c0_LightGrid-Accent1">
    <w:name w:val="Svc0_Light Grid Accent 1"/>
    <w:basedOn w:val="Svc0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c0_LightGrid-Accent2">
    <w:name w:val="Svc0_Light Grid Accent 2"/>
    <w:basedOn w:val="Svc0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c0_LightGrid-Accent3">
    <w:name w:val="Svc0_Light Grid Accent 3"/>
    <w:basedOn w:val="Svc0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c0_LightGrid-Accent4">
    <w:name w:val="Svc0_Light Grid Accent 4"/>
    <w:basedOn w:val="Svc0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c0_LightGrid-Accent5">
    <w:name w:val="Svc0_Light Grid Accent 5"/>
    <w:basedOn w:val="Svc0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c0_LightGrid-Accent6">
    <w:name w:val="Svc0_Light Grid Accent 6"/>
    <w:basedOn w:val="Svc0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c0_MediumShading1">
    <w:name w:val="Svc0_Medium Shading 1"/>
    <w:basedOn w:val="Svc0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vc0_MediumShading1-Accent1">
    <w:name w:val="Svc0_Medium Shading 1 Accent 1"/>
    <w:basedOn w:val="Svc0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vc0_MediumShading1-Accent2">
    <w:name w:val="Svc0_Medium Shading 1 Accent 2"/>
    <w:basedOn w:val="Svc0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vc0_MediumShading1-Accent3">
    <w:name w:val="Svc0_Medium Shading 1 Accent 3"/>
    <w:basedOn w:val="Svc0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vc0_MediumShading1-Accent4">
    <w:name w:val="Svc0_Medium Shading 1 Accent 4"/>
    <w:basedOn w:val="Svc0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vc0_MediumShading1-Accent5">
    <w:name w:val="Svc0_Medium Shading 1 Accent 5"/>
    <w:basedOn w:val="Svc0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vc0_MediumShading1-Accent6">
    <w:name w:val="Svc0_Medium Shading 1 Accent 6"/>
    <w:basedOn w:val="Svc0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vc0_MediumShading2">
    <w:name w:val="Svc0_Medium Shading 2"/>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Shading2-Accent1">
    <w:name w:val="Svc0_Medium Shading 2 Accent 1"/>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Shading2-Accent2">
    <w:name w:val="Svc0_Medium Shading 2 Accent 2"/>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Shading2-Accent3">
    <w:name w:val="Svc0_Medium Shading 2 Accent 3"/>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Shading2-Accent4">
    <w:name w:val="Svc0_Medium Shading 2 Accent 4"/>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Shading2-Accent5">
    <w:name w:val="Svc0_Medium Shading 2 Accent 5"/>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Shading2-Accent6">
    <w:name w:val="Svc0_Medium Shading 2 Accent 6"/>
    <w:basedOn w:val="Svc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0_MediumList1">
    <w:name w:val="Svc0_Medium List 1"/>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vc0_MediumList1-Accent1">
    <w:name w:val="Svc0_Medium List 1 Accent 1"/>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vc0_MediumList1-Accent2">
    <w:name w:val="Svc0_Medium List 1 Accent 2"/>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vc0_MediumList1-Accent3">
    <w:name w:val="Svc0_Medium List 1 Accent 3"/>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vc0_MediumList1-Accent4">
    <w:name w:val="Svc0_Medium List 1 Accent 4"/>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vc0_MediumList1-Accent5">
    <w:name w:val="Svc0_Medium List 1 Accent 5"/>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vc0_MediumList1-Accent6">
    <w:name w:val="Svc0_Medium List 1 Accent 6"/>
    <w:basedOn w:val="Svc0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vc0_MediumList2">
    <w:name w:val="Svc0_Medium List 2"/>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List2-Accent1">
    <w:name w:val="Svc0_Medium List 2 Accent 1"/>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List2-Accent2">
    <w:name w:val="Svc0_Medium List 2 Accent 2"/>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List2-Accent3">
    <w:name w:val="Svc0_Medium List 2 Accent 3"/>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List2-Accent4">
    <w:name w:val="Svc0_Medium List 2 Accent 4"/>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List2-Accent5">
    <w:name w:val="Svc0_Medium List 2 Accent 5"/>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List2-Accent6">
    <w:name w:val="Svc0_Medium List 2 Accent 6"/>
    <w:basedOn w:val="Svc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vc0_MediumGrid1">
    <w:name w:val="Svc0_Medium Grid 1"/>
    <w:basedOn w:val="Svc0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0_MediumGrid1-Accent1">
    <w:name w:val="Svc0_Medium Grid 1 Accent 1"/>
    <w:basedOn w:val="Svc0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0_MediumGrid1-Accent2">
    <w:name w:val="Svc0_Medium Grid 1 Accent 2"/>
    <w:basedOn w:val="Svc0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0_MediumGrid1-Accent3">
    <w:name w:val="Svc0_Medium Grid 1 Accent 3"/>
    <w:basedOn w:val="Svc0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0_MediumGrid1-Accent4">
    <w:name w:val="Svc0_Medium Grid 1 Accent 4"/>
    <w:basedOn w:val="Svc0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0_MediumGrid1-Accent5">
    <w:name w:val="Svc0_Medium Grid 1 Accent 5"/>
    <w:basedOn w:val="Svc0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0_MediumGrid1-Accent6">
    <w:name w:val="Svc0_Medium Grid 1 Accent 6"/>
    <w:basedOn w:val="Svc0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vc0_MediumGrid2">
    <w:name w:val="Svc0_Medium Grid 2"/>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vc0_MediumGrid2-Accent1">
    <w:name w:val="Svc0_Medium Grid 2 Accent 1"/>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vc0_MediumGrid2-Accent2">
    <w:name w:val="Svc0_Medium Grid 2 Accent 2"/>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vc0_MediumGrid2-Accent3">
    <w:name w:val="Svc0_Medium Grid 2 Accent 3"/>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vc0_MediumGrid2-Accent4">
    <w:name w:val="Svc0_Medium Grid 2 Accent 4"/>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vc0_MediumGrid2-Accent5">
    <w:name w:val="Svc0_Medium Grid 2 Accent 5"/>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vc0_MediumGrid2-Accent6">
    <w:name w:val="Svc0_Medium Grid 2 Accent 6"/>
    <w:basedOn w:val="Svc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vc0_MediumGrid3">
    <w:name w:val="Svc0_Medium Grid 3"/>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vc0_MediumGrid3-Accent1">
    <w:name w:val="Svc0_Medium Grid 3 Accent 1"/>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c0_MediumGrid3-Accent2">
    <w:name w:val="Svc0_Medium Grid 3 Accent 2"/>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vc0_MediumGrid3-Accent3">
    <w:name w:val="Svc0_Medium Grid 3 Accent 3"/>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vc0_MediumGrid3-Accent4">
    <w:name w:val="Svc0_Medium Grid 3 Accent 4"/>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vc0_MediumGrid3-Accent5">
    <w:name w:val="Svc0_Medium Grid 3 Accent 5"/>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c0_MediumGrid3-Accent6">
    <w:name w:val="Svc0_Medium Grid 3 Accent 6"/>
    <w:basedOn w:val="Svc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vc0_DarkList">
    <w:name w:val="Svc0_Dark List"/>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vc0_DarkList-Accent1">
    <w:name w:val="Svc0_Dark List Accent 1"/>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vc0_DarkList-Accent2">
    <w:name w:val="Svc0_Dark List Accent 2"/>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vc0_DarkList-Accent3">
    <w:name w:val="Svc0_Dark List Accent 3"/>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vc0_DarkList-Accent4">
    <w:name w:val="Svc0_Dark List Accent 4"/>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vc0_DarkList-Accent5">
    <w:name w:val="Svc0_Dark List Accent 5"/>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vc0_DarkList-Accent6">
    <w:name w:val="Svc0_Dark List Accent 6"/>
    <w:basedOn w:val="Svc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vc0_ColorfulShading">
    <w:name w:val="Svc0_Colorful Shading"/>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vc0_ColorfulShading-Accent1">
    <w:name w:val="Svc0_Colorful Shading Accent 1"/>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vc0_ColorfulShading-Accent2">
    <w:name w:val="Svc0_Colorful Shading Accent 2"/>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vc0_ColorfulShading-Accent3">
    <w:name w:val="Svc0_Colorful Shading Accent 3"/>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vc0_ColorfulShading-Accent4">
    <w:name w:val="Svc0_Colorful Shading Accent 4"/>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vc0_ColorfulShading-Accent5">
    <w:name w:val="Svc0_Colorful Shading Accent 5"/>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vc0_ColorfulShading-Accent6">
    <w:name w:val="Svc0_Colorful Shading Accent 6"/>
    <w:basedOn w:val="Svc0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vc0_ColorfulList">
    <w:name w:val="Svc0_Colorful List"/>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vc0_ColorfulList-Accent1">
    <w:name w:val="Svc0_Colorful List Accent 1"/>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vc0_ColorfulList-Accent2">
    <w:name w:val="Svc0_Colorful List Accent 2"/>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vc0_ColorfulList-Accent3">
    <w:name w:val="Svc0_Colorful List Accent 3"/>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vc0_ColorfulList-Accent4">
    <w:name w:val="Svc0_Colorful List Accent 4"/>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vc0_ColorfulList-Accent5">
    <w:name w:val="Svc0_Colorful List Accent 5"/>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vc0_ColorfulList-Accent6">
    <w:name w:val="Svc0_Colorful List Accent 6"/>
    <w:basedOn w:val="Svc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vc0_ColorfulGrid">
    <w:name w:val="Svc0_Colorful Grid"/>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0_ColorfulGrid-Accent1">
    <w:name w:val="Svc0_Colorful Grid Accent 1"/>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0_ColorfulGrid-Accent2">
    <w:name w:val="Svc0_Colorful Grid Accent 2"/>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0_ColorfulGrid-Accent3">
    <w:name w:val="Svc0_Colorful Grid Accent 3"/>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0_ColorfulGrid-Accent4">
    <w:name w:val="Svc0_Colorful Grid Accent 4"/>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0_ColorfulGrid-Accent5">
    <w:name w:val="Svc0_Colorful Grid Accent 5"/>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0_ColorfulGrid-Accent6">
    <w:name w:val="Svc0_Colorful Grid Accent 6"/>
    <w:basedOn w:val="Svc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SvcHead0_Normal">
    <w:name w:val="SvcHead0_Normal"/>
    <w:qFormat/>
    <w:rsid w:val="00FC693F"/>
    <w:pPr>
      <w:spacing w:after="120"/>
    </w:pPr>
    <w:rPr>
      <w:rFonts w:ascii="Calibri" w:hAnsi="Calibri"/>
      <w:sz w:val="20"/>
    </w:rPr>
  </w:style>
  <w:style w:type="paragraph" w:styleId="SvcHead0_Header">
    <w:name w:val="SvcHead0_header"/>
    <w:basedOn w:val="SvcHead0_Normal"/>
    <w:link w:val="SvcHead0_HeaderChar"/>
    <w:uiPriority w:val="99"/>
    <w:unhideWhenUsed/>
    <w:rsid w:val="00E618BF"/>
    <w:pPr>
      <w:tabs>
        <w:tab w:val="center" w:pos="4680"/>
        <w:tab w:val="right" w:pos="9360"/>
      </w:tabs>
      <w:spacing w:after="0" w:line="240" w:lineRule="auto"/>
    </w:pPr>
  </w:style>
  <w:style w:type="character" w:customStyle="1" w:styleId="SvcHead0_HeaderChar">
    <w:name w:val="SvcHead0_Header Char"/>
    <w:basedOn w:val="SvcHead0_DefaultParagraphFont"/>
    <w:link w:val="SvcHead0_Header"/>
    <w:uiPriority w:val="99"/>
    <w:rsid w:val="00E618BF"/>
  </w:style>
  <w:style w:type="paragraph" w:styleId="SvcHead0_Footer">
    <w:name w:val="SvcHead0_footer"/>
    <w:basedOn w:val="SvcHead0_Normal"/>
    <w:link w:val="SvcHead0_FooterChar"/>
    <w:uiPriority w:val="99"/>
    <w:unhideWhenUsed/>
    <w:rsid w:val="00E618BF"/>
    <w:pPr>
      <w:tabs>
        <w:tab w:val="center" w:pos="4680"/>
        <w:tab w:val="right" w:pos="9360"/>
      </w:tabs>
      <w:spacing w:after="0" w:line="240" w:lineRule="auto"/>
    </w:pPr>
  </w:style>
  <w:style w:type="character" w:customStyle="1" w:styleId="SvcHead0_FooterChar">
    <w:name w:val="SvcHead0_Footer Char"/>
    <w:basedOn w:val="SvcHead0_DefaultParagraphFont"/>
    <w:link w:val="SvcHead0_Footer"/>
    <w:uiPriority w:val="99"/>
    <w:rsid w:val="00E618BF"/>
  </w:style>
  <w:style w:type="paragraph" w:styleId="SvcHead0_Heading1">
    <w:name w:val="SvcHead0_heading 1"/>
    <w:basedOn w:val="SvcHead0_Normal"/>
    <w:next w:val="SvcHead0_Normal"/>
    <w:link w:val="SvcHead0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SvcHead0_Heading2">
    <w:name w:val="SvcHead0_heading 2"/>
    <w:basedOn w:val="SvcHead0_Normal"/>
    <w:next w:val="SvcHead0_Normal"/>
    <w:link w:val="SvcHead0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SvcHead0_Heading3">
    <w:name w:val="SvcHead0_heading 3"/>
    <w:basedOn w:val="SvcHead0_Normal"/>
    <w:next w:val="SvcHead0_Normal"/>
    <w:link w:val="SvcHead0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SvcHead0_Heading4">
    <w:name w:val="SvcHead0_heading 4"/>
    <w:basedOn w:val="SvcHead0_Normal"/>
    <w:next w:val="SvcHead0_Normal"/>
    <w:link w:val="SvcHead0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SvcHead0_Heading5">
    <w:name w:val="SvcHead0_heading 5"/>
    <w:basedOn w:val="SvcHead0_Normal"/>
    <w:next w:val="SvcHead0_Normal"/>
    <w:link w:val="SvcHead0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SvcHead0_Heading6">
    <w:name w:val="SvcHead0_heading 6"/>
    <w:basedOn w:val="SvcHead0_Normal"/>
    <w:next w:val="SvcHead0_Normal"/>
    <w:link w:val="SvcHead0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SvcHead0_Heading7">
    <w:name w:val="SvcHead0_heading 7"/>
    <w:basedOn w:val="SvcHead0_Normal"/>
    <w:next w:val="SvcHead0_Normal"/>
    <w:link w:val="SvcHead0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SvcHead0_Heading8">
    <w:name w:val="SvcHead0_heading 8"/>
    <w:basedOn w:val="SvcHead0_Normal"/>
    <w:next w:val="SvcHead0_Normal"/>
    <w:link w:val="SvcHead0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SvcHead0_Heading9">
    <w:name w:val="SvcHead0_heading 9"/>
    <w:basedOn w:val="SvcHead0_Normal"/>
    <w:next w:val="SvcHead0_Normal"/>
    <w:link w:val="SvcHead0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vcHead0_DefaultParagraphFont">
    <w:name w:val="SvcHead0_Default Paragraph Font"/>
    <w:uiPriority w:val="1"/>
    <w:semiHidden/>
    <w:unhideWhenUsed/>
  </w:style>
  <w:style w:type="table" w:default="1" w:styleId="SvcHead0_TableNormal">
    <w:name w:val="SvcHead0_Normal Table"/>
    <w:uiPriority w:val="99"/>
    <w:semiHidden/>
    <w:unhideWhenUsed/>
    <w:tblPr>
      <w:tblInd w:w="0" w:type="dxa"/>
      <w:tblCellMar>
        <w:top w:w="0" w:type="dxa"/>
        <w:left w:w="108" w:type="dxa"/>
        <w:bottom w:w="0" w:type="dxa"/>
        <w:right w:w="108" w:type="dxa"/>
      </w:tblCellMar>
    </w:tblPr>
  </w:style>
  <w:style w:type="numbering" w:default="1" w:styleId="SvcHead0_NoList">
    <w:name w:val="SvcHead0_No List"/>
    <w:uiPriority w:val="99"/>
    <w:semiHidden/>
    <w:unhideWhenUsed/>
  </w:style>
  <w:style w:type="paragraph" w:styleId="SvcHead0_NoSpacing">
    <w:name w:val="SvcHead0_No Spacing"/>
    <w:uiPriority w:val="1"/>
    <w:qFormat/>
    <w:rsid w:val="00FC693F"/>
    <w:pPr>
      <w:spacing w:after="0" w:line="240" w:lineRule="auto"/>
    </w:pPr>
  </w:style>
  <w:style w:type="character" w:customStyle="1" w:styleId="SvcHead0_Heading1Char">
    <w:name w:val="SvcHead0_Heading 1 Char"/>
    <w:basedOn w:val="SvcHead0_DefaultParagraphFont"/>
    <w:link w:val="SvcHead0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SvcHead0_Heading2Char">
    <w:name w:val="SvcHead0_Heading 2 Char"/>
    <w:basedOn w:val="SvcHead0_DefaultParagraphFont"/>
    <w:link w:val="SvcHead0_Heading2"/>
    <w:uiPriority w:val="9"/>
    <w:rsid w:val="00FC693F"/>
    <w:rPr>
      <w:rFonts w:asciiTheme="majorHAnsi" w:eastAsiaTheme="majorEastAsia" w:hAnsiTheme="majorHAnsi" w:cstheme="majorBidi"/>
      <w:b/>
      <w:bCs/>
      <w:color w:val="4F81BD" w:themeColor="accent1"/>
      <w:sz w:val="26"/>
      <w:szCs w:val="26"/>
    </w:rPr>
  </w:style>
  <w:style w:type="character" w:customStyle="1" w:styleId="SvcHead0_Heading3Char">
    <w:name w:val="SvcHead0_Heading 3 Char"/>
    <w:basedOn w:val="SvcHead0_DefaultParagraphFont"/>
    <w:link w:val="SvcHead0_Heading3"/>
    <w:uiPriority w:val="9"/>
    <w:rsid w:val="00FC693F"/>
    <w:rPr>
      <w:rFonts w:asciiTheme="majorHAnsi" w:eastAsiaTheme="majorEastAsia" w:hAnsiTheme="majorHAnsi" w:cstheme="majorBidi"/>
      <w:b/>
      <w:bCs/>
      <w:color w:val="4F81BD" w:themeColor="accent1"/>
    </w:rPr>
  </w:style>
  <w:style w:type="paragraph" w:styleId="SvcHead0_Title">
    <w:name w:val="SvcHead0_Title"/>
    <w:basedOn w:val="SvcHead0_Normal"/>
    <w:next w:val="SvcHead0_Normal"/>
    <w:link w:val="SvcHead0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SvcHead0_TitleChar">
    <w:name w:val="SvcHead0_Title Char"/>
    <w:basedOn w:val="SvcHead0_DefaultParagraphFont"/>
    <w:link w:val="SvcHead0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vcHead0_Subtitle">
    <w:name w:val="SvcHead0_Subtitle"/>
    <w:basedOn w:val="SvcHead0_Normal"/>
    <w:next w:val="SvcHead0_Normal"/>
    <w:link w:val="SvcHead0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vcHead0_SubtitleChar">
    <w:name w:val="SvcHead0_Subtitle Char"/>
    <w:basedOn w:val="SvcHead0_DefaultParagraphFont"/>
    <w:link w:val="SvcHead0_Subtitle"/>
    <w:uiPriority w:val="11"/>
    <w:rsid w:val="00FC693F"/>
    <w:rPr>
      <w:rFonts w:asciiTheme="majorHAnsi" w:eastAsiaTheme="majorEastAsia" w:hAnsiTheme="majorHAnsi" w:cstheme="majorBidi"/>
      <w:i/>
      <w:iCs/>
      <w:color w:val="4F81BD" w:themeColor="accent1"/>
      <w:spacing w:val="15"/>
      <w:sz w:val="24"/>
      <w:szCs w:val="24"/>
    </w:rPr>
  </w:style>
  <w:style w:type="paragraph" w:styleId="SvcHead0_ListParagraph">
    <w:name w:val="SvcHead0_List Paragraph"/>
    <w:basedOn w:val="SvcHead0_Normal"/>
    <w:uiPriority w:val="34"/>
    <w:qFormat/>
    <w:rsid w:val="00FC693F"/>
    <w:pPr>
      <w:ind w:left="720"/>
      <w:contextualSpacing/>
    </w:pPr>
  </w:style>
  <w:style w:type="paragraph" w:styleId="SvcHead0_BodyText">
    <w:name w:val="SvcHead0_Body Text"/>
    <w:basedOn w:val="SvcHead0_Normal"/>
    <w:link w:val="SvcHead0_BodyTextChar"/>
    <w:uiPriority w:val="99"/>
    <w:unhideWhenUsed/>
    <w:rsid w:val="00AA1D8D"/>
    <w:pPr>
      <w:spacing w:after="120"/>
    </w:pPr>
  </w:style>
  <w:style w:type="character" w:customStyle="1" w:styleId="SvcHead0_BodyTextChar">
    <w:name w:val="SvcHead0_Body Text Char"/>
    <w:basedOn w:val="SvcHead0_DefaultParagraphFont"/>
    <w:link w:val="SvcHead0_BodyText"/>
    <w:uiPriority w:val="99"/>
    <w:rsid w:val="00AA1D8D"/>
  </w:style>
  <w:style w:type="paragraph" w:styleId="SvcHead0_BodyText2">
    <w:name w:val="SvcHead0_Body Text 2"/>
    <w:basedOn w:val="SvcHead0_Normal"/>
    <w:link w:val="SvcHead0_BodyText2Char"/>
    <w:uiPriority w:val="99"/>
    <w:unhideWhenUsed/>
    <w:rsid w:val="00AA1D8D"/>
    <w:pPr>
      <w:spacing w:after="120" w:line="480" w:lineRule="auto"/>
    </w:pPr>
  </w:style>
  <w:style w:type="character" w:customStyle="1" w:styleId="SvcHead0_BodyText2Char">
    <w:name w:val="SvcHead0_Body Text 2 Char"/>
    <w:basedOn w:val="SvcHead0_DefaultParagraphFont"/>
    <w:link w:val="SvcHead0_BodyText2"/>
    <w:uiPriority w:val="99"/>
    <w:rsid w:val="00AA1D8D"/>
  </w:style>
  <w:style w:type="paragraph" w:styleId="SvcHead0_BodyText3">
    <w:name w:val="SvcHead0_Body Text 3"/>
    <w:basedOn w:val="SvcHead0_Normal"/>
    <w:link w:val="SvcHead0_BodyText3Char"/>
    <w:uiPriority w:val="99"/>
    <w:unhideWhenUsed/>
    <w:rsid w:val="00AA1D8D"/>
    <w:pPr>
      <w:spacing w:after="120"/>
    </w:pPr>
    <w:rPr>
      <w:sz w:val="16"/>
      <w:szCs w:val="16"/>
    </w:rPr>
  </w:style>
  <w:style w:type="character" w:customStyle="1" w:styleId="SvcHead0_BodyText3Char">
    <w:name w:val="SvcHead0_Body Text 3 Char"/>
    <w:basedOn w:val="SvcHead0_DefaultParagraphFont"/>
    <w:link w:val="SvcHead0_BodyText3"/>
    <w:uiPriority w:val="99"/>
    <w:rsid w:val="00AA1D8D"/>
    <w:rPr>
      <w:sz w:val="16"/>
      <w:szCs w:val="16"/>
    </w:rPr>
  </w:style>
  <w:style w:type="paragraph" w:styleId="SvcHead0_List">
    <w:name w:val="SvcHead0_List"/>
    <w:basedOn w:val="SvcHead0_Normal"/>
    <w:uiPriority w:val="99"/>
    <w:unhideWhenUsed/>
    <w:rsid w:val="00AA1D8D"/>
    <w:pPr>
      <w:ind w:left="360" w:hanging="360"/>
      <w:contextualSpacing/>
    </w:pPr>
  </w:style>
  <w:style w:type="paragraph" w:styleId="SvcHead0_List2">
    <w:name w:val="SvcHead0_List 2"/>
    <w:basedOn w:val="SvcHead0_Normal"/>
    <w:uiPriority w:val="99"/>
    <w:unhideWhenUsed/>
    <w:rsid w:val="00326F90"/>
    <w:pPr>
      <w:ind w:left="720" w:hanging="360"/>
      <w:contextualSpacing/>
    </w:pPr>
  </w:style>
  <w:style w:type="paragraph" w:styleId="SvcHead0_List3">
    <w:name w:val="SvcHead0_List 3"/>
    <w:basedOn w:val="SvcHead0_Normal"/>
    <w:uiPriority w:val="99"/>
    <w:unhideWhenUsed/>
    <w:rsid w:val="00326F90"/>
    <w:pPr>
      <w:ind w:left="1080" w:hanging="360"/>
      <w:contextualSpacing/>
    </w:pPr>
  </w:style>
  <w:style w:type="paragraph" w:styleId="SvcHead0_ListBullet">
    <w:name w:val="SvcHead0_List Bullet"/>
    <w:basedOn w:val="SvcHead0_Normal"/>
    <w:uiPriority w:val="99"/>
    <w:unhideWhenUsed/>
    <w:rsid w:val="00326F90"/>
    <w:pPr>
      <w:numPr>
        <w:numId w:val="1"/>
      </w:numPr>
      <w:contextualSpacing/>
    </w:pPr>
  </w:style>
  <w:style w:type="paragraph" w:styleId="SvcHead0_ListBullet2">
    <w:name w:val="SvcHead0_List Bullet 2"/>
    <w:basedOn w:val="SvcHead0_Normal"/>
    <w:uiPriority w:val="99"/>
    <w:unhideWhenUsed/>
    <w:rsid w:val="00326F90"/>
    <w:pPr>
      <w:numPr>
        <w:numId w:val="2"/>
      </w:numPr>
      <w:contextualSpacing/>
    </w:pPr>
  </w:style>
  <w:style w:type="paragraph" w:styleId="SvcHead0_ListBullet3">
    <w:name w:val="SvcHead0_List Bullet 3"/>
    <w:basedOn w:val="SvcHead0_Normal"/>
    <w:uiPriority w:val="99"/>
    <w:unhideWhenUsed/>
    <w:rsid w:val="00326F90"/>
    <w:pPr>
      <w:numPr>
        <w:numId w:val="3"/>
      </w:numPr>
      <w:contextualSpacing/>
    </w:pPr>
  </w:style>
  <w:style w:type="paragraph" w:styleId="SvcHead0_ListNumber">
    <w:name w:val="SvcHead0_List Number"/>
    <w:basedOn w:val="SvcHead0_Normal"/>
    <w:uiPriority w:val="99"/>
    <w:unhideWhenUsed/>
    <w:rsid w:val="00326F90"/>
    <w:pPr>
      <w:numPr>
        <w:numId w:val="5"/>
      </w:numPr>
      <w:contextualSpacing/>
    </w:pPr>
  </w:style>
  <w:style w:type="paragraph" w:styleId="SvcHead0_ListNumber2">
    <w:name w:val="SvcHead0_List Number 2"/>
    <w:basedOn w:val="SvcHead0_Normal"/>
    <w:uiPriority w:val="99"/>
    <w:unhideWhenUsed/>
    <w:rsid w:val="0029639D"/>
    <w:pPr>
      <w:numPr>
        <w:numId w:val="6"/>
      </w:numPr>
      <w:contextualSpacing/>
    </w:pPr>
  </w:style>
  <w:style w:type="paragraph" w:styleId="SvcHead0_ListNumber3">
    <w:name w:val="SvcHead0_List Number 3"/>
    <w:basedOn w:val="SvcHead0_Normal"/>
    <w:uiPriority w:val="99"/>
    <w:unhideWhenUsed/>
    <w:rsid w:val="0029639D"/>
    <w:pPr>
      <w:numPr>
        <w:numId w:val="7"/>
      </w:numPr>
      <w:contextualSpacing/>
    </w:pPr>
  </w:style>
  <w:style w:type="paragraph" w:styleId="SvcHead0_ListContinue">
    <w:name w:val="SvcHead0_List Continue"/>
    <w:basedOn w:val="SvcHead0_Normal"/>
    <w:uiPriority w:val="99"/>
    <w:unhideWhenUsed/>
    <w:rsid w:val="0029639D"/>
    <w:pPr>
      <w:spacing w:after="120"/>
      <w:ind w:left="360"/>
      <w:contextualSpacing/>
    </w:pPr>
  </w:style>
  <w:style w:type="paragraph" w:styleId="SvcHead0_ListContinue2">
    <w:name w:val="SvcHead0_List Continue 2"/>
    <w:basedOn w:val="SvcHead0_Normal"/>
    <w:uiPriority w:val="99"/>
    <w:unhideWhenUsed/>
    <w:rsid w:val="0029639D"/>
    <w:pPr>
      <w:spacing w:after="120"/>
      <w:ind w:left="720"/>
      <w:contextualSpacing/>
    </w:pPr>
  </w:style>
  <w:style w:type="paragraph" w:styleId="SvcHead0_ListContinue3">
    <w:name w:val="SvcHead0_List Continue 3"/>
    <w:basedOn w:val="SvcHead0_Normal"/>
    <w:uiPriority w:val="99"/>
    <w:unhideWhenUsed/>
    <w:rsid w:val="0029639D"/>
    <w:pPr>
      <w:spacing w:after="120"/>
      <w:ind w:left="1080"/>
      <w:contextualSpacing/>
    </w:pPr>
  </w:style>
  <w:style w:type="paragraph" w:styleId="SvcHead0_MacroText">
    <w:name w:val="SvcHead0_macro"/>
    <w:link w:val="SvcHead0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SvcHead0_MacroTextChar">
    <w:name w:val="SvcHead0_Macro Text Char"/>
    <w:basedOn w:val="SvcHead0_DefaultParagraphFont"/>
    <w:link w:val="SvcHead0_MacroText"/>
    <w:uiPriority w:val="99"/>
    <w:rsid w:val="0029639D"/>
    <w:rPr>
      <w:rFonts w:ascii="Courier" w:hAnsi="Courier"/>
      <w:sz w:val="20"/>
      <w:szCs w:val="20"/>
    </w:rPr>
  </w:style>
  <w:style w:type="paragraph" w:styleId="SvcHead0_Quote">
    <w:name w:val="SvcHead0_Quote"/>
    <w:basedOn w:val="SvcHead0_Normal"/>
    <w:next w:val="SvcHead0_Normal"/>
    <w:link w:val="SvcHead0_QuoteChar"/>
    <w:uiPriority w:val="29"/>
    <w:qFormat/>
    <w:rsid w:val="00FC693F"/>
    <w:rPr>
      <w:i/>
      <w:iCs/>
      <w:color w:val="000000" w:themeColor="text1"/>
    </w:rPr>
  </w:style>
  <w:style w:type="character" w:customStyle="1" w:styleId="SvcHead0_QuoteChar">
    <w:name w:val="SvcHead0_Quote Char"/>
    <w:basedOn w:val="SvcHead0_DefaultParagraphFont"/>
    <w:link w:val="SvcHead0_Quote"/>
    <w:uiPriority w:val="29"/>
    <w:rsid w:val="00FC693F"/>
    <w:rPr>
      <w:i/>
      <w:iCs/>
      <w:color w:val="000000" w:themeColor="text1"/>
    </w:rPr>
  </w:style>
  <w:style w:type="character" w:customStyle="1" w:styleId="SvcHead0_Heading4Char">
    <w:name w:val="SvcHead0_Heading 4 Char"/>
    <w:basedOn w:val="SvcHead0_DefaultParagraphFont"/>
    <w:link w:val="SvcHead0_Heading4"/>
    <w:uiPriority w:val="9"/>
    <w:semiHidden/>
    <w:rsid w:val="00FC693F"/>
    <w:rPr>
      <w:rFonts w:asciiTheme="majorHAnsi" w:eastAsiaTheme="majorEastAsia" w:hAnsiTheme="majorHAnsi" w:cstheme="majorBidi"/>
      <w:b/>
      <w:bCs/>
      <w:i/>
      <w:iCs/>
      <w:color w:val="4F81BD" w:themeColor="accent1"/>
    </w:rPr>
  </w:style>
  <w:style w:type="character" w:customStyle="1" w:styleId="SvcHead0_Heading5Char">
    <w:name w:val="SvcHead0_Heading 5 Char"/>
    <w:basedOn w:val="SvcHead0_DefaultParagraphFont"/>
    <w:link w:val="SvcHead0_Heading5"/>
    <w:uiPriority w:val="9"/>
    <w:semiHidden/>
    <w:rsid w:val="00FC693F"/>
    <w:rPr>
      <w:rFonts w:asciiTheme="majorHAnsi" w:eastAsiaTheme="majorEastAsia" w:hAnsiTheme="majorHAnsi" w:cstheme="majorBidi"/>
      <w:color w:val="243F60" w:themeColor="accent1" w:themeShade="7F"/>
    </w:rPr>
  </w:style>
  <w:style w:type="character" w:customStyle="1" w:styleId="SvcHead0_Heading6Char">
    <w:name w:val="SvcHead0_Heading 6 Char"/>
    <w:basedOn w:val="SvcHead0_DefaultParagraphFont"/>
    <w:link w:val="SvcHead0_Heading6"/>
    <w:uiPriority w:val="9"/>
    <w:semiHidden/>
    <w:rsid w:val="00FC693F"/>
    <w:rPr>
      <w:rFonts w:asciiTheme="majorHAnsi" w:eastAsiaTheme="majorEastAsia" w:hAnsiTheme="majorHAnsi" w:cstheme="majorBidi"/>
      <w:i/>
      <w:iCs/>
      <w:color w:val="243F60" w:themeColor="accent1" w:themeShade="7F"/>
    </w:rPr>
  </w:style>
  <w:style w:type="character" w:customStyle="1" w:styleId="SvcHead0_Heading7Char">
    <w:name w:val="SvcHead0_Heading 7 Char"/>
    <w:basedOn w:val="SvcHead0_DefaultParagraphFont"/>
    <w:link w:val="SvcHead0_Heading7"/>
    <w:uiPriority w:val="9"/>
    <w:semiHidden/>
    <w:rsid w:val="00FC693F"/>
    <w:rPr>
      <w:rFonts w:asciiTheme="majorHAnsi" w:eastAsiaTheme="majorEastAsia" w:hAnsiTheme="majorHAnsi" w:cstheme="majorBidi"/>
      <w:i/>
      <w:iCs/>
      <w:color w:val="404040" w:themeColor="text1" w:themeTint="BF"/>
    </w:rPr>
  </w:style>
  <w:style w:type="character" w:customStyle="1" w:styleId="SvcHead0_Heading8Char">
    <w:name w:val="SvcHead0_Heading 8 Char"/>
    <w:basedOn w:val="SvcHead0_DefaultParagraphFont"/>
    <w:link w:val="SvcHead0_Heading8"/>
    <w:uiPriority w:val="9"/>
    <w:semiHidden/>
    <w:rsid w:val="00FC693F"/>
    <w:rPr>
      <w:rFonts w:asciiTheme="majorHAnsi" w:eastAsiaTheme="majorEastAsia" w:hAnsiTheme="majorHAnsi" w:cstheme="majorBidi"/>
      <w:color w:val="4F81BD" w:themeColor="accent1"/>
      <w:sz w:val="20"/>
      <w:szCs w:val="20"/>
    </w:rPr>
  </w:style>
  <w:style w:type="character" w:customStyle="1" w:styleId="SvcHead0_Heading9Char">
    <w:name w:val="SvcHead0_Heading 9 Char"/>
    <w:basedOn w:val="SvcHead0_DefaultParagraphFont"/>
    <w:link w:val="SvcHead0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SvcHead0_Caption">
    <w:name w:val="SvcHead0_caption"/>
    <w:basedOn w:val="SvcHead0_Normal"/>
    <w:next w:val="SvcHead0_Normal"/>
    <w:uiPriority w:val="35"/>
    <w:semiHidden/>
    <w:unhideWhenUsed/>
    <w:qFormat/>
    <w:rsid w:val="00FC693F"/>
    <w:pPr>
      <w:spacing w:line="240" w:lineRule="auto"/>
    </w:pPr>
    <w:rPr>
      <w:b/>
      <w:bCs/>
      <w:color w:val="4F81BD" w:themeColor="accent1"/>
      <w:sz w:val="18"/>
      <w:szCs w:val="18"/>
    </w:rPr>
  </w:style>
  <w:style w:type="character" w:styleId="SvcHead0_Strong">
    <w:name w:val="SvcHead0_Strong"/>
    <w:basedOn w:val="SvcHead0_DefaultParagraphFont"/>
    <w:uiPriority w:val="22"/>
    <w:qFormat/>
    <w:rsid w:val="00FC693F"/>
    <w:rPr>
      <w:b/>
      <w:bCs/>
    </w:rPr>
  </w:style>
  <w:style w:type="character" w:styleId="SvcHead0_Emphasis">
    <w:name w:val="SvcHead0_Emphasis"/>
    <w:basedOn w:val="SvcHead0_DefaultParagraphFont"/>
    <w:uiPriority w:val="20"/>
    <w:qFormat/>
    <w:rsid w:val="00FC693F"/>
    <w:rPr>
      <w:i/>
      <w:iCs/>
    </w:rPr>
  </w:style>
  <w:style w:type="paragraph" w:styleId="SvcHead0_IntenseQuote">
    <w:name w:val="SvcHead0_Intense Quote"/>
    <w:basedOn w:val="SvcHead0_Normal"/>
    <w:next w:val="SvcHead0_Normal"/>
    <w:link w:val="SvcHead0_IntenseQuoteChar"/>
    <w:uiPriority w:val="30"/>
    <w:qFormat/>
    <w:rsid w:val="00FC693F"/>
    <w:pPr>
      <w:spacing w:before="200" w:after="280"/>
      <w:ind w:left="936" w:right="936"/>
    </w:pPr>
    <w:rPr>
      <w:b/>
      <w:bCs/>
      <w:i/>
      <w:iCs/>
      <w:color w:val="4F81BD" w:themeColor="accent1"/>
    </w:rPr>
  </w:style>
  <w:style w:type="character" w:customStyle="1" w:styleId="SvcHead0_IntenseQuoteChar">
    <w:name w:val="SvcHead0_Intense Quote Char"/>
    <w:basedOn w:val="SvcHead0_DefaultParagraphFont"/>
    <w:link w:val="SvcHead0_IntenseQuote"/>
    <w:uiPriority w:val="30"/>
    <w:rsid w:val="00FC693F"/>
    <w:rPr>
      <w:b/>
      <w:bCs/>
      <w:i/>
      <w:iCs/>
      <w:color w:val="4F81BD" w:themeColor="accent1"/>
    </w:rPr>
  </w:style>
  <w:style w:type="character" w:styleId="SvcHead0_SubtleEmphasis">
    <w:name w:val="SvcHead0_Subtle Emphasis"/>
    <w:basedOn w:val="SvcHead0_DefaultParagraphFont"/>
    <w:uiPriority w:val="19"/>
    <w:qFormat/>
    <w:rsid w:val="00FC693F"/>
    <w:rPr>
      <w:i/>
      <w:iCs/>
      <w:color w:val="808080" w:themeColor="text1" w:themeTint="7F"/>
    </w:rPr>
  </w:style>
  <w:style w:type="character" w:styleId="SvcHead0_IntenseEmphasis">
    <w:name w:val="SvcHead0_Intense Emphasis"/>
    <w:basedOn w:val="SvcHead0_DefaultParagraphFont"/>
    <w:uiPriority w:val="21"/>
    <w:qFormat/>
    <w:rsid w:val="00FC693F"/>
    <w:rPr>
      <w:b/>
      <w:bCs/>
      <w:i/>
      <w:iCs/>
      <w:color w:val="4F81BD" w:themeColor="accent1"/>
    </w:rPr>
  </w:style>
  <w:style w:type="character" w:styleId="SvcHead0_SubtleReference">
    <w:name w:val="SvcHead0_Subtle Reference"/>
    <w:basedOn w:val="SvcHead0_DefaultParagraphFont"/>
    <w:uiPriority w:val="31"/>
    <w:qFormat/>
    <w:rsid w:val="00FC693F"/>
    <w:rPr>
      <w:smallCaps/>
      <w:color w:val="C0504D" w:themeColor="accent2"/>
      <w:u w:val="single"/>
    </w:rPr>
  </w:style>
  <w:style w:type="character" w:styleId="SvcHead0_IntenseReference">
    <w:name w:val="SvcHead0_Intense Reference"/>
    <w:basedOn w:val="SvcHead0_DefaultParagraphFont"/>
    <w:uiPriority w:val="32"/>
    <w:qFormat/>
    <w:rsid w:val="00FC693F"/>
    <w:rPr>
      <w:b/>
      <w:bCs/>
      <w:smallCaps/>
      <w:color w:val="C0504D" w:themeColor="accent2"/>
      <w:spacing w:val="5"/>
      <w:u w:val="single"/>
    </w:rPr>
  </w:style>
  <w:style w:type="character" w:styleId="SvcHead0_BookTitle">
    <w:name w:val="SvcHead0_Book Title"/>
    <w:basedOn w:val="SvcHead0_DefaultParagraphFont"/>
    <w:uiPriority w:val="33"/>
    <w:qFormat/>
    <w:rsid w:val="00FC693F"/>
    <w:rPr>
      <w:b/>
      <w:bCs/>
      <w:smallCaps/>
      <w:spacing w:val="5"/>
    </w:rPr>
  </w:style>
  <w:style w:type="paragraph" w:styleId="SvcHead0_TOCHeading">
    <w:name w:val="SvcHead0_TOC Heading"/>
    <w:basedOn w:val="SvcHead0_Heading1"/>
    <w:next w:val="SvcHead0_Normal"/>
    <w:uiPriority w:val="39"/>
    <w:semiHidden/>
    <w:unhideWhenUsed/>
    <w:qFormat/>
    <w:rsid w:val="00FC693F"/>
    <w:pPr>
      <w:outlineLvl w:val="9"/>
    </w:pPr>
  </w:style>
  <w:style w:type="table" w:styleId="SvcHead0_TableGrid">
    <w:name w:val="SvcHead0_Table Grid"/>
    <w:basedOn w:val="SvcHead0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cHead0_LightShading">
    <w:name w:val="SvcHead0_Light Shading"/>
    <w:basedOn w:val="SvcHead0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cHead0_LightShading-Accent1">
    <w:name w:val="SvcHead0_Light Shading Accent 1"/>
    <w:basedOn w:val="SvcHead0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cHead0_LightShading-Accent2">
    <w:name w:val="SvcHead0_Light Shading Accent 2"/>
    <w:basedOn w:val="SvcHead0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cHead0_LightShading-Accent3">
    <w:name w:val="SvcHead0_Light Shading Accent 3"/>
    <w:basedOn w:val="SvcHead0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cHead0_LightShading-Accent4">
    <w:name w:val="SvcHead0_Light Shading Accent 4"/>
    <w:basedOn w:val="SvcHead0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cHead0_LightShading-Accent5">
    <w:name w:val="SvcHead0_Light Shading Accent 5"/>
    <w:basedOn w:val="SvcHead0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cHead0_LightShading-Accent6">
    <w:name w:val="SvcHead0_Light Shading Accent 6"/>
    <w:basedOn w:val="SvcHead0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cHead0_LightList">
    <w:name w:val="SvcHead0_Light List"/>
    <w:basedOn w:val="SvcHead0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cHead0_LightList-Accent1">
    <w:name w:val="SvcHead0_Light List Accent 1"/>
    <w:basedOn w:val="SvcHead0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cHead0_LightList-Accent2">
    <w:name w:val="SvcHead0_Light List Accent 2"/>
    <w:basedOn w:val="SvcHead0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cHead0_LightList-Accent3">
    <w:name w:val="SvcHead0_Light List Accent 3"/>
    <w:basedOn w:val="SvcHead0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cHead0_LightList-Accent4">
    <w:name w:val="SvcHead0_Light List Accent 4"/>
    <w:basedOn w:val="SvcHead0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cHead0_LightList-Accent5">
    <w:name w:val="SvcHead0_Light List Accent 5"/>
    <w:basedOn w:val="SvcHead0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cHead0_LightList-Accent6">
    <w:name w:val="SvcHead0_Light List Accent 6"/>
    <w:basedOn w:val="SvcHead0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cHead0_LightGrid">
    <w:name w:val="SvcHead0_Light Grid"/>
    <w:basedOn w:val="SvcHead0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cHead0_LightGrid-Accent1">
    <w:name w:val="SvcHead0_Light Grid Accent 1"/>
    <w:basedOn w:val="SvcHead0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cHead0_LightGrid-Accent2">
    <w:name w:val="SvcHead0_Light Grid Accent 2"/>
    <w:basedOn w:val="SvcHead0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cHead0_LightGrid-Accent3">
    <w:name w:val="SvcHead0_Light Grid Accent 3"/>
    <w:basedOn w:val="SvcHead0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cHead0_LightGrid-Accent4">
    <w:name w:val="SvcHead0_Light Grid Accent 4"/>
    <w:basedOn w:val="SvcHead0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cHead0_LightGrid-Accent5">
    <w:name w:val="SvcHead0_Light Grid Accent 5"/>
    <w:basedOn w:val="SvcHead0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cHead0_LightGrid-Accent6">
    <w:name w:val="SvcHead0_Light Grid Accent 6"/>
    <w:basedOn w:val="SvcHead0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cHead0_MediumShading1">
    <w:name w:val="SvcHead0_Medium Shading 1"/>
    <w:basedOn w:val="SvcHead0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vcHead0_MediumShading1-Accent1">
    <w:name w:val="SvcHead0_Medium Shading 1 Accent 1"/>
    <w:basedOn w:val="SvcHead0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vcHead0_MediumShading1-Accent2">
    <w:name w:val="SvcHead0_Medium Shading 1 Accent 2"/>
    <w:basedOn w:val="SvcHead0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vcHead0_MediumShading1-Accent3">
    <w:name w:val="SvcHead0_Medium Shading 1 Accent 3"/>
    <w:basedOn w:val="SvcHead0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vcHead0_MediumShading1-Accent4">
    <w:name w:val="SvcHead0_Medium Shading 1 Accent 4"/>
    <w:basedOn w:val="SvcHead0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vcHead0_MediumShading1-Accent5">
    <w:name w:val="SvcHead0_Medium Shading 1 Accent 5"/>
    <w:basedOn w:val="SvcHead0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vcHead0_MediumShading1-Accent6">
    <w:name w:val="SvcHead0_Medium Shading 1 Accent 6"/>
    <w:basedOn w:val="SvcHead0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vcHead0_MediumShading2">
    <w:name w:val="SvcHead0_Medium Shading 2"/>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Shading2-Accent1">
    <w:name w:val="SvcHead0_Medium Shading 2 Accent 1"/>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Shading2-Accent2">
    <w:name w:val="SvcHead0_Medium Shading 2 Accent 2"/>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Shading2-Accent3">
    <w:name w:val="SvcHead0_Medium Shading 2 Accent 3"/>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Shading2-Accent4">
    <w:name w:val="SvcHead0_Medium Shading 2 Accent 4"/>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Shading2-Accent5">
    <w:name w:val="SvcHead0_Medium Shading 2 Accent 5"/>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Shading2-Accent6">
    <w:name w:val="SvcHead0_Medium Shading 2 Accent 6"/>
    <w:basedOn w:val="Svc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0_MediumList1">
    <w:name w:val="SvcHead0_Medium List 1"/>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vcHead0_MediumList1-Accent1">
    <w:name w:val="SvcHead0_Medium List 1 Accent 1"/>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vcHead0_MediumList1-Accent2">
    <w:name w:val="SvcHead0_Medium List 1 Accent 2"/>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vcHead0_MediumList1-Accent3">
    <w:name w:val="SvcHead0_Medium List 1 Accent 3"/>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vcHead0_MediumList1-Accent4">
    <w:name w:val="SvcHead0_Medium List 1 Accent 4"/>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vcHead0_MediumList1-Accent5">
    <w:name w:val="SvcHead0_Medium List 1 Accent 5"/>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vcHead0_MediumList1-Accent6">
    <w:name w:val="SvcHead0_Medium List 1 Accent 6"/>
    <w:basedOn w:val="Svc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vcHead0_MediumList2">
    <w:name w:val="SvcHead0_Medium List 2"/>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List2-Accent1">
    <w:name w:val="SvcHead0_Medium List 2 Accent 1"/>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List2-Accent2">
    <w:name w:val="SvcHead0_Medium List 2 Accent 2"/>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List2-Accent3">
    <w:name w:val="SvcHead0_Medium List 2 Accent 3"/>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List2-Accent4">
    <w:name w:val="SvcHead0_Medium List 2 Accent 4"/>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List2-Accent5">
    <w:name w:val="SvcHead0_Medium List 2 Accent 5"/>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List2-Accent6">
    <w:name w:val="SvcHead0_Medium List 2 Accent 6"/>
    <w:basedOn w:val="Svc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0_MediumGrid1">
    <w:name w:val="SvcHead0_Medium Grid 1"/>
    <w:basedOn w:val="SvcHead0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Head0_MediumGrid1-Accent1">
    <w:name w:val="SvcHead0_Medium Grid 1 Accent 1"/>
    <w:basedOn w:val="SvcHead0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Head0_MediumGrid1-Accent2">
    <w:name w:val="SvcHead0_Medium Grid 1 Accent 2"/>
    <w:basedOn w:val="SvcHead0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Head0_MediumGrid1-Accent3">
    <w:name w:val="SvcHead0_Medium Grid 1 Accent 3"/>
    <w:basedOn w:val="SvcHead0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Head0_MediumGrid1-Accent4">
    <w:name w:val="SvcHead0_Medium Grid 1 Accent 4"/>
    <w:basedOn w:val="SvcHead0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Head0_MediumGrid1-Accent5">
    <w:name w:val="SvcHead0_Medium Grid 1 Accent 5"/>
    <w:basedOn w:val="SvcHead0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Head0_MediumGrid1-Accent6">
    <w:name w:val="SvcHead0_Medium Grid 1 Accent 6"/>
    <w:basedOn w:val="SvcHead0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vcHead0_MediumGrid2">
    <w:name w:val="SvcHead0_Medium Grid 2"/>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vcHead0_MediumGrid2-Accent1">
    <w:name w:val="SvcHead0_Medium Grid 2 Accent 1"/>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vcHead0_MediumGrid2-Accent2">
    <w:name w:val="SvcHead0_Medium Grid 2 Accent 2"/>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vcHead0_MediumGrid2-Accent3">
    <w:name w:val="SvcHead0_Medium Grid 2 Accent 3"/>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vcHead0_MediumGrid2-Accent4">
    <w:name w:val="SvcHead0_Medium Grid 2 Accent 4"/>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vcHead0_MediumGrid2-Accent5">
    <w:name w:val="SvcHead0_Medium Grid 2 Accent 5"/>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vcHead0_MediumGrid2-Accent6">
    <w:name w:val="SvcHead0_Medium Grid 2 Accent 6"/>
    <w:basedOn w:val="Svc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vcHead0_MediumGrid3">
    <w:name w:val="SvcHead0_Medium Grid 3"/>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vcHead0_MediumGrid3-Accent1">
    <w:name w:val="SvcHead0_Medium Grid 3 Accent 1"/>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cHead0_MediumGrid3-Accent2">
    <w:name w:val="SvcHead0_Medium Grid 3 Accent 2"/>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vcHead0_MediumGrid3-Accent3">
    <w:name w:val="SvcHead0_Medium Grid 3 Accent 3"/>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vcHead0_MediumGrid3-Accent4">
    <w:name w:val="SvcHead0_Medium Grid 3 Accent 4"/>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vcHead0_MediumGrid3-Accent5">
    <w:name w:val="SvcHead0_Medium Grid 3 Accent 5"/>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cHead0_MediumGrid3-Accent6">
    <w:name w:val="SvcHead0_Medium Grid 3 Accent 6"/>
    <w:basedOn w:val="Svc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vcHead0_DarkList">
    <w:name w:val="SvcHead0_Dark List"/>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vcHead0_DarkList-Accent1">
    <w:name w:val="SvcHead0_Dark List Accent 1"/>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vcHead0_DarkList-Accent2">
    <w:name w:val="SvcHead0_Dark List Accent 2"/>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vcHead0_DarkList-Accent3">
    <w:name w:val="SvcHead0_Dark List Accent 3"/>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vcHead0_DarkList-Accent4">
    <w:name w:val="SvcHead0_Dark List Accent 4"/>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vcHead0_DarkList-Accent5">
    <w:name w:val="SvcHead0_Dark List Accent 5"/>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vcHead0_DarkList-Accent6">
    <w:name w:val="SvcHead0_Dark List Accent 6"/>
    <w:basedOn w:val="Svc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vcHead0_ColorfulShading">
    <w:name w:val="SvcHead0_Colorful Shading"/>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vcHead0_ColorfulShading-Accent1">
    <w:name w:val="SvcHead0_Colorful Shading Accent 1"/>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vcHead0_ColorfulShading-Accent2">
    <w:name w:val="SvcHead0_Colorful Shading Accent 2"/>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vcHead0_ColorfulShading-Accent3">
    <w:name w:val="SvcHead0_Colorful Shading Accent 3"/>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vcHead0_ColorfulShading-Accent4">
    <w:name w:val="SvcHead0_Colorful Shading Accent 4"/>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vcHead0_ColorfulShading-Accent5">
    <w:name w:val="SvcHead0_Colorful Shading Accent 5"/>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vcHead0_ColorfulShading-Accent6">
    <w:name w:val="SvcHead0_Colorful Shading Accent 6"/>
    <w:basedOn w:val="Svc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vcHead0_ColorfulList">
    <w:name w:val="SvcHead0_Colorful List"/>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vcHead0_ColorfulList-Accent1">
    <w:name w:val="SvcHead0_Colorful List Accent 1"/>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vcHead0_ColorfulList-Accent2">
    <w:name w:val="SvcHead0_Colorful List Accent 2"/>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vcHead0_ColorfulList-Accent3">
    <w:name w:val="SvcHead0_Colorful List Accent 3"/>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vcHead0_ColorfulList-Accent4">
    <w:name w:val="SvcHead0_Colorful List Accent 4"/>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vcHead0_ColorfulList-Accent5">
    <w:name w:val="SvcHead0_Colorful List Accent 5"/>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vcHead0_ColorfulList-Accent6">
    <w:name w:val="SvcHead0_Colorful List Accent 6"/>
    <w:basedOn w:val="Svc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vcHead0_ColorfulGrid">
    <w:name w:val="SvcHead0_Colorful Grid"/>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Head0_ColorfulGrid-Accent1">
    <w:name w:val="SvcHead0_Colorful Grid Accent 1"/>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Head0_ColorfulGrid-Accent2">
    <w:name w:val="SvcHead0_Colorful Grid Accent 2"/>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Head0_ColorfulGrid-Accent3">
    <w:name w:val="SvcHead0_Colorful Grid Accent 3"/>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Head0_ColorfulGrid-Accent4">
    <w:name w:val="SvcHead0_Colorful Grid Accent 4"/>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Head0_ColorfulGrid-Accent5">
    <w:name w:val="SvcHead0_Colorful Grid Accent 5"/>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Head0_ColorfulGrid-Accent6">
    <w:name w:val="SvcHead0_Colorful Grid Accent 6"/>
    <w:basedOn w:val="Svc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Svc1_Normal">
    <w:name w:val="Svc1_Normal"/>
    <w:qFormat/>
    <w:rsid w:val="00FC693F"/>
    <w:pPr>
      <w:spacing w:after="140" w:line="254" w:lineRule="auto"/>
    </w:pPr>
    <w:rPr>
      <w:rFonts w:ascii="Calibri" w:hAnsi="Calibri"/>
      <w:color w:val="000000"/>
      <w:sz w:val="21"/>
    </w:rPr>
  </w:style>
  <w:style w:type="paragraph" w:styleId="Svc1_Header">
    <w:name w:val="Svc1_header"/>
    <w:basedOn w:val="Svc1_Normal"/>
    <w:link w:val="Svc1_HeaderChar"/>
    <w:uiPriority w:val="99"/>
    <w:unhideWhenUsed/>
    <w:rsid w:val="00E618BF"/>
    <w:pPr>
      <w:tabs>
        <w:tab w:val="center" w:pos="4680"/>
        <w:tab w:val="right" w:pos="9360"/>
      </w:tabs>
      <w:spacing w:after="0" w:line="240" w:lineRule="auto"/>
    </w:pPr>
  </w:style>
  <w:style w:type="character" w:customStyle="1" w:styleId="Svc1_HeaderChar">
    <w:name w:val="Svc1_Header Char"/>
    <w:basedOn w:val="Svc1_DefaultParagraphFont"/>
    <w:link w:val="Svc1_Header"/>
    <w:uiPriority w:val="99"/>
    <w:rsid w:val="00E618BF"/>
  </w:style>
  <w:style w:type="paragraph" w:styleId="Svc1_Footer">
    <w:name w:val="Svc1_footer"/>
    <w:basedOn w:val="Svc1_Normal"/>
    <w:link w:val="Svc1_FooterChar"/>
    <w:uiPriority w:val="99"/>
    <w:unhideWhenUsed/>
    <w:rsid w:val="00E618BF"/>
    <w:pPr>
      <w:tabs>
        <w:tab w:val="center" w:pos="4680"/>
        <w:tab w:val="right" w:pos="9360"/>
      </w:tabs>
      <w:spacing w:after="0" w:line="240" w:lineRule="auto"/>
    </w:pPr>
  </w:style>
  <w:style w:type="character" w:customStyle="1" w:styleId="Svc1_FooterChar">
    <w:name w:val="Svc1_Footer Char"/>
    <w:basedOn w:val="Svc1_DefaultParagraphFont"/>
    <w:link w:val="Svc1_Footer"/>
    <w:uiPriority w:val="99"/>
    <w:rsid w:val="00E618BF"/>
  </w:style>
  <w:style w:type="paragraph" w:styleId="Svc1_Heading1">
    <w:name w:val="Svc1_heading 1"/>
    <w:basedOn w:val="Svc1_Normal"/>
    <w:next w:val="Svc1_Normal"/>
    <w:link w:val="Svc1_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Svc1_Heading2">
    <w:name w:val="Svc1_heading 2"/>
    <w:basedOn w:val="Svc1_Normal"/>
    <w:next w:val="Svc1_Normal"/>
    <w:link w:val="Svc1_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Svc1_Heading3">
    <w:name w:val="Svc1_heading 3"/>
    <w:basedOn w:val="Svc1_Normal"/>
    <w:next w:val="Svc1_Normal"/>
    <w:link w:val="Svc1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Svc1_Heading4">
    <w:name w:val="Svc1_heading 4"/>
    <w:basedOn w:val="Svc1_Normal"/>
    <w:next w:val="Svc1_Normal"/>
    <w:link w:val="Svc1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Svc1_Heading5">
    <w:name w:val="Svc1_heading 5"/>
    <w:basedOn w:val="Svc1_Normal"/>
    <w:next w:val="Svc1_Normal"/>
    <w:link w:val="Svc1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Svc1_Heading6">
    <w:name w:val="Svc1_heading 6"/>
    <w:basedOn w:val="Svc1_Normal"/>
    <w:next w:val="Svc1_Normal"/>
    <w:link w:val="Svc1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Svc1_Heading7">
    <w:name w:val="Svc1_heading 7"/>
    <w:basedOn w:val="Svc1_Normal"/>
    <w:next w:val="Svc1_Normal"/>
    <w:link w:val="Svc1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Svc1_Heading8">
    <w:name w:val="Svc1_heading 8"/>
    <w:basedOn w:val="Svc1_Normal"/>
    <w:next w:val="Svc1_Normal"/>
    <w:link w:val="Svc1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Svc1_Heading9">
    <w:name w:val="Svc1_heading 9"/>
    <w:basedOn w:val="Svc1_Normal"/>
    <w:next w:val="Svc1_Normal"/>
    <w:link w:val="Svc1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vc1_DefaultParagraphFont">
    <w:name w:val="Svc1_Default Paragraph Font"/>
    <w:uiPriority w:val="1"/>
    <w:semiHidden/>
    <w:unhideWhenUsed/>
  </w:style>
  <w:style w:type="table" w:default="1" w:styleId="Svc1_TableNormal">
    <w:name w:val="Svc1_Normal Table"/>
    <w:uiPriority w:val="99"/>
    <w:semiHidden/>
    <w:unhideWhenUsed/>
    <w:tblPr>
      <w:tblInd w:w="0" w:type="dxa"/>
      <w:tblCellMar>
        <w:top w:w="0" w:type="dxa"/>
        <w:left w:w="108" w:type="dxa"/>
        <w:bottom w:w="0" w:type="dxa"/>
        <w:right w:w="108" w:type="dxa"/>
      </w:tblCellMar>
    </w:tblPr>
  </w:style>
  <w:style w:type="numbering" w:default="1" w:styleId="Svc1_NoList">
    <w:name w:val="Svc1_No List"/>
    <w:uiPriority w:val="99"/>
    <w:semiHidden/>
    <w:unhideWhenUsed/>
  </w:style>
  <w:style w:type="paragraph" w:styleId="Svc1_NoSpacing">
    <w:name w:val="Svc1_No Spacing"/>
    <w:uiPriority w:val="1"/>
    <w:qFormat/>
    <w:rsid w:val="00FC693F"/>
    <w:pPr>
      <w:spacing w:after="0" w:line="240" w:lineRule="auto"/>
    </w:pPr>
  </w:style>
  <w:style w:type="character" w:customStyle="1" w:styleId="Svc1_Heading1Char">
    <w:name w:val="Svc1_Heading 1 Char"/>
    <w:basedOn w:val="Svc1_DefaultParagraphFont"/>
    <w:link w:val="Svc1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Svc1_Heading2Char">
    <w:name w:val="Svc1_Heading 2 Char"/>
    <w:basedOn w:val="Svc1_DefaultParagraphFont"/>
    <w:link w:val="Svc1_Heading2"/>
    <w:uiPriority w:val="9"/>
    <w:rsid w:val="00FC693F"/>
    <w:rPr>
      <w:rFonts w:asciiTheme="majorHAnsi" w:eastAsiaTheme="majorEastAsia" w:hAnsiTheme="majorHAnsi" w:cstheme="majorBidi"/>
      <w:b/>
      <w:bCs/>
      <w:color w:val="4F81BD" w:themeColor="accent1"/>
      <w:sz w:val="26"/>
      <w:szCs w:val="26"/>
    </w:rPr>
  </w:style>
  <w:style w:type="character" w:customStyle="1" w:styleId="Svc1_Heading3Char">
    <w:name w:val="Svc1_Heading 3 Char"/>
    <w:basedOn w:val="Svc1_DefaultParagraphFont"/>
    <w:link w:val="Svc1_Heading3"/>
    <w:uiPriority w:val="9"/>
    <w:rsid w:val="00FC693F"/>
    <w:rPr>
      <w:rFonts w:asciiTheme="majorHAnsi" w:eastAsiaTheme="majorEastAsia" w:hAnsiTheme="majorHAnsi" w:cstheme="majorBidi"/>
      <w:b/>
      <w:bCs/>
      <w:color w:val="4F81BD" w:themeColor="accent1"/>
    </w:rPr>
  </w:style>
  <w:style w:type="paragraph" w:styleId="Svc1_Title">
    <w:name w:val="Svc1_Title"/>
    <w:basedOn w:val="Svc1_Normal"/>
    <w:next w:val="Svc1_Normal"/>
    <w:link w:val="Svc1_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Svc1_TitleChar">
    <w:name w:val="Svc1_Title Char"/>
    <w:basedOn w:val="Svc1_DefaultParagraphFont"/>
    <w:link w:val="Svc1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vc1_Subtitle">
    <w:name w:val="Svc1_Subtitle"/>
    <w:basedOn w:val="Svc1_Normal"/>
    <w:next w:val="Svc1_Normal"/>
    <w:link w:val="Svc1_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vc1_SubtitleChar">
    <w:name w:val="Svc1_Subtitle Char"/>
    <w:basedOn w:val="Svc1_DefaultParagraphFont"/>
    <w:link w:val="Svc1_Subtitle"/>
    <w:uiPriority w:val="11"/>
    <w:rsid w:val="00FC693F"/>
    <w:rPr>
      <w:rFonts w:asciiTheme="majorHAnsi" w:eastAsiaTheme="majorEastAsia" w:hAnsiTheme="majorHAnsi" w:cstheme="majorBidi"/>
      <w:i/>
      <w:iCs/>
      <w:color w:val="4F81BD" w:themeColor="accent1"/>
      <w:spacing w:val="15"/>
      <w:sz w:val="24"/>
      <w:szCs w:val="24"/>
    </w:rPr>
  </w:style>
  <w:style w:type="paragraph" w:styleId="Svc1_ListParagraph">
    <w:name w:val="Svc1_List Paragraph"/>
    <w:basedOn w:val="Svc1_Normal"/>
    <w:uiPriority w:val="34"/>
    <w:qFormat/>
    <w:rsid w:val="00FC693F"/>
    <w:pPr>
      <w:ind w:left="720"/>
      <w:contextualSpacing/>
    </w:pPr>
  </w:style>
  <w:style w:type="paragraph" w:styleId="Svc1_BodyText">
    <w:name w:val="Svc1_Body Text"/>
    <w:basedOn w:val="Svc1_Normal"/>
    <w:link w:val="Svc1_BodyTextChar"/>
    <w:uiPriority w:val="99"/>
    <w:unhideWhenUsed/>
    <w:rsid w:val="00AA1D8D"/>
    <w:pPr>
      <w:spacing w:after="120"/>
    </w:pPr>
  </w:style>
  <w:style w:type="character" w:customStyle="1" w:styleId="Svc1_BodyTextChar">
    <w:name w:val="Svc1_Body Text Char"/>
    <w:basedOn w:val="Svc1_DefaultParagraphFont"/>
    <w:link w:val="Svc1_BodyText"/>
    <w:uiPriority w:val="99"/>
    <w:rsid w:val="00AA1D8D"/>
  </w:style>
  <w:style w:type="paragraph" w:styleId="Svc1_BodyText2">
    <w:name w:val="Svc1_Body Text 2"/>
    <w:basedOn w:val="Svc1_Normal"/>
    <w:link w:val="Svc1_BodyText2Char"/>
    <w:uiPriority w:val="99"/>
    <w:unhideWhenUsed/>
    <w:rsid w:val="00AA1D8D"/>
    <w:pPr>
      <w:spacing w:after="120" w:line="480" w:lineRule="auto"/>
    </w:pPr>
  </w:style>
  <w:style w:type="character" w:customStyle="1" w:styleId="Svc1_BodyText2Char">
    <w:name w:val="Svc1_Body Text 2 Char"/>
    <w:basedOn w:val="Svc1_DefaultParagraphFont"/>
    <w:link w:val="Svc1_BodyText2"/>
    <w:uiPriority w:val="99"/>
    <w:rsid w:val="00AA1D8D"/>
  </w:style>
  <w:style w:type="paragraph" w:styleId="Svc1_BodyText3">
    <w:name w:val="Svc1_Body Text 3"/>
    <w:basedOn w:val="Svc1_Normal"/>
    <w:link w:val="Svc1_BodyText3Char"/>
    <w:uiPriority w:val="99"/>
    <w:unhideWhenUsed/>
    <w:rsid w:val="00AA1D8D"/>
    <w:pPr>
      <w:spacing w:after="120"/>
    </w:pPr>
    <w:rPr>
      <w:sz w:val="16"/>
      <w:szCs w:val="16"/>
    </w:rPr>
  </w:style>
  <w:style w:type="character" w:customStyle="1" w:styleId="Svc1_BodyText3Char">
    <w:name w:val="Svc1_Body Text 3 Char"/>
    <w:basedOn w:val="Svc1_DefaultParagraphFont"/>
    <w:link w:val="Svc1_BodyText3"/>
    <w:uiPriority w:val="99"/>
    <w:rsid w:val="00AA1D8D"/>
    <w:rPr>
      <w:sz w:val="16"/>
      <w:szCs w:val="16"/>
    </w:rPr>
  </w:style>
  <w:style w:type="paragraph" w:styleId="Svc1_List">
    <w:name w:val="Svc1_List"/>
    <w:basedOn w:val="Svc1_Normal"/>
    <w:uiPriority w:val="99"/>
    <w:unhideWhenUsed/>
    <w:rsid w:val="00AA1D8D"/>
    <w:pPr>
      <w:ind w:left="360" w:hanging="360"/>
      <w:contextualSpacing/>
    </w:pPr>
  </w:style>
  <w:style w:type="paragraph" w:styleId="Svc1_List2">
    <w:name w:val="Svc1_List 2"/>
    <w:basedOn w:val="Svc1_Normal"/>
    <w:uiPriority w:val="99"/>
    <w:unhideWhenUsed/>
    <w:rsid w:val="00326F90"/>
    <w:pPr>
      <w:ind w:left="720" w:hanging="360"/>
      <w:contextualSpacing/>
    </w:pPr>
  </w:style>
  <w:style w:type="paragraph" w:styleId="Svc1_List3">
    <w:name w:val="Svc1_List 3"/>
    <w:basedOn w:val="Svc1_Normal"/>
    <w:uiPriority w:val="99"/>
    <w:unhideWhenUsed/>
    <w:rsid w:val="00326F90"/>
    <w:pPr>
      <w:ind w:left="1080" w:hanging="360"/>
      <w:contextualSpacing/>
    </w:pPr>
  </w:style>
  <w:style w:type="paragraph" w:styleId="Svc1_ListBullet">
    <w:name w:val="Svc1_List Bullet"/>
    <w:basedOn w:val="Svc1_Normal"/>
    <w:uiPriority w:val="99"/>
    <w:unhideWhenUsed/>
    <w:rsid w:val="00326F90"/>
    <w:pPr>
      <w:numPr>
        <w:numId w:val="1"/>
      </w:numPr>
      <w:contextualSpacing/>
    </w:pPr>
  </w:style>
  <w:style w:type="paragraph" w:styleId="Svc1_ListBullet2">
    <w:name w:val="Svc1_List Bullet 2"/>
    <w:basedOn w:val="Svc1_Normal"/>
    <w:uiPriority w:val="99"/>
    <w:unhideWhenUsed/>
    <w:rsid w:val="00326F90"/>
    <w:pPr>
      <w:numPr>
        <w:numId w:val="2"/>
      </w:numPr>
      <w:contextualSpacing/>
    </w:pPr>
  </w:style>
  <w:style w:type="paragraph" w:styleId="Svc1_ListBullet3">
    <w:name w:val="Svc1_List Bullet 3"/>
    <w:basedOn w:val="Svc1_Normal"/>
    <w:uiPriority w:val="99"/>
    <w:unhideWhenUsed/>
    <w:rsid w:val="00326F90"/>
    <w:pPr>
      <w:numPr>
        <w:numId w:val="3"/>
      </w:numPr>
      <w:contextualSpacing/>
    </w:pPr>
  </w:style>
  <w:style w:type="paragraph" w:styleId="Svc1_ListNumber">
    <w:name w:val="Svc1_List Number"/>
    <w:basedOn w:val="Svc1_Normal"/>
    <w:uiPriority w:val="99"/>
    <w:unhideWhenUsed/>
    <w:rsid w:val="00326F90"/>
    <w:pPr>
      <w:numPr>
        <w:numId w:val="5"/>
      </w:numPr>
      <w:contextualSpacing/>
    </w:pPr>
  </w:style>
  <w:style w:type="paragraph" w:styleId="Svc1_ListNumber2">
    <w:name w:val="Svc1_List Number 2"/>
    <w:basedOn w:val="Svc1_Normal"/>
    <w:uiPriority w:val="99"/>
    <w:unhideWhenUsed/>
    <w:rsid w:val="0029639D"/>
    <w:pPr>
      <w:numPr>
        <w:numId w:val="6"/>
      </w:numPr>
      <w:contextualSpacing/>
    </w:pPr>
  </w:style>
  <w:style w:type="paragraph" w:styleId="Svc1_ListNumber3">
    <w:name w:val="Svc1_List Number 3"/>
    <w:basedOn w:val="Svc1_Normal"/>
    <w:uiPriority w:val="99"/>
    <w:unhideWhenUsed/>
    <w:rsid w:val="0029639D"/>
    <w:pPr>
      <w:numPr>
        <w:numId w:val="7"/>
      </w:numPr>
      <w:contextualSpacing/>
    </w:pPr>
  </w:style>
  <w:style w:type="paragraph" w:styleId="Svc1_ListContinue">
    <w:name w:val="Svc1_List Continue"/>
    <w:basedOn w:val="Svc1_Normal"/>
    <w:uiPriority w:val="99"/>
    <w:unhideWhenUsed/>
    <w:rsid w:val="0029639D"/>
    <w:pPr>
      <w:spacing w:after="120"/>
      <w:ind w:left="360"/>
      <w:contextualSpacing/>
    </w:pPr>
  </w:style>
  <w:style w:type="paragraph" w:styleId="Svc1_ListContinue2">
    <w:name w:val="Svc1_List Continue 2"/>
    <w:basedOn w:val="Svc1_Normal"/>
    <w:uiPriority w:val="99"/>
    <w:unhideWhenUsed/>
    <w:rsid w:val="0029639D"/>
    <w:pPr>
      <w:spacing w:after="120"/>
      <w:ind w:left="720"/>
      <w:contextualSpacing/>
    </w:pPr>
  </w:style>
  <w:style w:type="paragraph" w:styleId="Svc1_ListContinue3">
    <w:name w:val="Svc1_List Continue 3"/>
    <w:basedOn w:val="Svc1_Normal"/>
    <w:uiPriority w:val="99"/>
    <w:unhideWhenUsed/>
    <w:rsid w:val="0029639D"/>
    <w:pPr>
      <w:spacing w:after="120"/>
      <w:ind w:left="1080"/>
      <w:contextualSpacing/>
    </w:pPr>
  </w:style>
  <w:style w:type="paragraph" w:styleId="Svc1_MacroText">
    <w:name w:val="Svc1_macro"/>
    <w:link w:val="Svc1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Svc1_MacroTextChar">
    <w:name w:val="Svc1_Macro Text Char"/>
    <w:basedOn w:val="Svc1_DefaultParagraphFont"/>
    <w:link w:val="Svc1_MacroText"/>
    <w:uiPriority w:val="99"/>
    <w:rsid w:val="0029639D"/>
    <w:rPr>
      <w:rFonts w:ascii="Courier" w:hAnsi="Courier"/>
      <w:sz w:val="20"/>
      <w:szCs w:val="20"/>
    </w:rPr>
  </w:style>
  <w:style w:type="paragraph" w:styleId="Svc1_Quote">
    <w:name w:val="Svc1_Quote"/>
    <w:basedOn w:val="Svc1_Normal"/>
    <w:next w:val="Svc1_Normal"/>
    <w:link w:val="Svc1_QuoteChar"/>
    <w:uiPriority w:val="29"/>
    <w:qFormat/>
    <w:rsid w:val="00FC693F"/>
    <w:rPr>
      <w:i/>
      <w:iCs/>
      <w:color w:val="000000" w:themeColor="text1"/>
    </w:rPr>
  </w:style>
  <w:style w:type="character" w:customStyle="1" w:styleId="Svc1_QuoteChar">
    <w:name w:val="Svc1_Quote Char"/>
    <w:basedOn w:val="Svc1_DefaultParagraphFont"/>
    <w:link w:val="Svc1_Quote"/>
    <w:uiPriority w:val="29"/>
    <w:rsid w:val="00FC693F"/>
    <w:rPr>
      <w:i/>
      <w:iCs/>
      <w:color w:val="000000" w:themeColor="text1"/>
    </w:rPr>
  </w:style>
  <w:style w:type="character" w:customStyle="1" w:styleId="Svc1_Heading4Char">
    <w:name w:val="Svc1_Heading 4 Char"/>
    <w:basedOn w:val="Svc1_DefaultParagraphFont"/>
    <w:link w:val="Svc1_Heading4"/>
    <w:uiPriority w:val="9"/>
    <w:semiHidden/>
    <w:rsid w:val="00FC693F"/>
    <w:rPr>
      <w:rFonts w:asciiTheme="majorHAnsi" w:eastAsiaTheme="majorEastAsia" w:hAnsiTheme="majorHAnsi" w:cstheme="majorBidi"/>
      <w:b/>
      <w:bCs/>
      <w:i/>
      <w:iCs/>
      <w:color w:val="4F81BD" w:themeColor="accent1"/>
    </w:rPr>
  </w:style>
  <w:style w:type="character" w:customStyle="1" w:styleId="Svc1_Heading5Char">
    <w:name w:val="Svc1_Heading 5 Char"/>
    <w:basedOn w:val="Svc1_DefaultParagraphFont"/>
    <w:link w:val="Svc1_Heading5"/>
    <w:uiPriority w:val="9"/>
    <w:semiHidden/>
    <w:rsid w:val="00FC693F"/>
    <w:rPr>
      <w:rFonts w:asciiTheme="majorHAnsi" w:eastAsiaTheme="majorEastAsia" w:hAnsiTheme="majorHAnsi" w:cstheme="majorBidi"/>
      <w:color w:val="243F60" w:themeColor="accent1" w:themeShade="7F"/>
    </w:rPr>
  </w:style>
  <w:style w:type="character" w:customStyle="1" w:styleId="Svc1_Heading6Char">
    <w:name w:val="Svc1_Heading 6 Char"/>
    <w:basedOn w:val="Svc1_DefaultParagraphFont"/>
    <w:link w:val="Svc1_Heading6"/>
    <w:uiPriority w:val="9"/>
    <w:semiHidden/>
    <w:rsid w:val="00FC693F"/>
    <w:rPr>
      <w:rFonts w:asciiTheme="majorHAnsi" w:eastAsiaTheme="majorEastAsia" w:hAnsiTheme="majorHAnsi" w:cstheme="majorBidi"/>
      <w:i/>
      <w:iCs/>
      <w:color w:val="243F60" w:themeColor="accent1" w:themeShade="7F"/>
    </w:rPr>
  </w:style>
  <w:style w:type="character" w:customStyle="1" w:styleId="Svc1_Heading7Char">
    <w:name w:val="Svc1_Heading 7 Char"/>
    <w:basedOn w:val="Svc1_DefaultParagraphFont"/>
    <w:link w:val="Svc1_Heading7"/>
    <w:uiPriority w:val="9"/>
    <w:semiHidden/>
    <w:rsid w:val="00FC693F"/>
    <w:rPr>
      <w:rFonts w:asciiTheme="majorHAnsi" w:eastAsiaTheme="majorEastAsia" w:hAnsiTheme="majorHAnsi" w:cstheme="majorBidi"/>
      <w:i/>
      <w:iCs/>
      <w:color w:val="404040" w:themeColor="text1" w:themeTint="BF"/>
    </w:rPr>
  </w:style>
  <w:style w:type="character" w:customStyle="1" w:styleId="Svc1_Heading8Char">
    <w:name w:val="Svc1_Heading 8 Char"/>
    <w:basedOn w:val="Svc1_DefaultParagraphFont"/>
    <w:link w:val="Svc1_Heading8"/>
    <w:uiPriority w:val="9"/>
    <w:semiHidden/>
    <w:rsid w:val="00FC693F"/>
    <w:rPr>
      <w:rFonts w:asciiTheme="majorHAnsi" w:eastAsiaTheme="majorEastAsia" w:hAnsiTheme="majorHAnsi" w:cstheme="majorBidi"/>
      <w:color w:val="4F81BD" w:themeColor="accent1"/>
      <w:sz w:val="20"/>
      <w:szCs w:val="20"/>
    </w:rPr>
  </w:style>
  <w:style w:type="character" w:customStyle="1" w:styleId="Svc1_Heading9Char">
    <w:name w:val="Svc1_Heading 9 Char"/>
    <w:basedOn w:val="Svc1_DefaultParagraphFont"/>
    <w:link w:val="Svc1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Svc1_Caption">
    <w:name w:val="Svc1_caption"/>
    <w:basedOn w:val="Svc1_Normal"/>
    <w:next w:val="Svc1_Normal"/>
    <w:uiPriority w:val="35"/>
    <w:semiHidden/>
    <w:unhideWhenUsed/>
    <w:qFormat/>
    <w:rsid w:val="00FC693F"/>
    <w:pPr>
      <w:spacing w:line="240" w:lineRule="auto"/>
    </w:pPr>
    <w:rPr>
      <w:b/>
      <w:bCs/>
      <w:color w:val="4F81BD" w:themeColor="accent1"/>
      <w:sz w:val="18"/>
      <w:szCs w:val="18"/>
    </w:rPr>
  </w:style>
  <w:style w:type="character" w:styleId="Svc1_Strong">
    <w:name w:val="Svc1_Strong"/>
    <w:basedOn w:val="Svc1_DefaultParagraphFont"/>
    <w:uiPriority w:val="22"/>
    <w:qFormat/>
    <w:rsid w:val="00FC693F"/>
    <w:rPr>
      <w:b/>
      <w:bCs/>
    </w:rPr>
  </w:style>
  <w:style w:type="character" w:styleId="Svc1_Emphasis">
    <w:name w:val="Svc1_Emphasis"/>
    <w:basedOn w:val="Svc1_DefaultParagraphFont"/>
    <w:uiPriority w:val="20"/>
    <w:qFormat/>
    <w:rsid w:val="00FC693F"/>
    <w:rPr>
      <w:i/>
      <w:iCs/>
    </w:rPr>
  </w:style>
  <w:style w:type="paragraph" w:styleId="Svc1_IntenseQuote">
    <w:name w:val="Svc1_Intense Quote"/>
    <w:basedOn w:val="Svc1_Normal"/>
    <w:next w:val="Svc1_Normal"/>
    <w:link w:val="Svc1_IntenseQuoteChar"/>
    <w:uiPriority w:val="30"/>
    <w:qFormat/>
    <w:rsid w:val="00FC693F"/>
    <w:pPr>
      <w:spacing w:before="200" w:after="280"/>
      <w:ind w:left="936" w:right="936"/>
    </w:pPr>
    <w:rPr>
      <w:b/>
      <w:bCs/>
      <w:i/>
      <w:iCs/>
      <w:color w:val="4F81BD" w:themeColor="accent1"/>
    </w:rPr>
  </w:style>
  <w:style w:type="character" w:customStyle="1" w:styleId="Svc1_IntenseQuoteChar">
    <w:name w:val="Svc1_Intense Quote Char"/>
    <w:basedOn w:val="Svc1_DefaultParagraphFont"/>
    <w:link w:val="Svc1_IntenseQuote"/>
    <w:uiPriority w:val="30"/>
    <w:rsid w:val="00FC693F"/>
    <w:rPr>
      <w:b/>
      <w:bCs/>
      <w:i/>
      <w:iCs/>
      <w:color w:val="4F81BD" w:themeColor="accent1"/>
    </w:rPr>
  </w:style>
  <w:style w:type="character" w:styleId="Svc1_SubtleEmphasis">
    <w:name w:val="Svc1_Subtle Emphasis"/>
    <w:basedOn w:val="Svc1_DefaultParagraphFont"/>
    <w:uiPriority w:val="19"/>
    <w:qFormat/>
    <w:rsid w:val="00FC693F"/>
    <w:rPr>
      <w:i/>
      <w:iCs/>
      <w:color w:val="808080" w:themeColor="text1" w:themeTint="7F"/>
    </w:rPr>
  </w:style>
  <w:style w:type="character" w:styleId="Svc1_IntenseEmphasis">
    <w:name w:val="Svc1_Intense Emphasis"/>
    <w:basedOn w:val="Svc1_DefaultParagraphFont"/>
    <w:uiPriority w:val="21"/>
    <w:qFormat/>
    <w:rsid w:val="00FC693F"/>
    <w:rPr>
      <w:b/>
      <w:bCs/>
      <w:i/>
      <w:iCs/>
      <w:color w:val="4F81BD" w:themeColor="accent1"/>
    </w:rPr>
  </w:style>
  <w:style w:type="character" w:styleId="Svc1_SubtleReference">
    <w:name w:val="Svc1_Subtle Reference"/>
    <w:basedOn w:val="Svc1_DefaultParagraphFont"/>
    <w:uiPriority w:val="31"/>
    <w:qFormat/>
    <w:rsid w:val="00FC693F"/>
    <w:rPr>
      <w:smallCaps/>
      <w:color w:val="C0504D" w:themeColor="accent2"/>
      <w:u w:val="single"/>
    </w:rPr>
  </w:style>
  <w:style w:type="character" w:styleId="Svc1_IntenseReference">
    <w:name w:val="Svc1_Intense Reference"/>
    <w:basedOn w:val="Svc1_DefaultParagraphFont"/>
    <w:uiPriority w:val="32"/>
    <w:qFormat/>
    <w:rsid w:val="00FC693F"/>
    <w:rPr>
      <w:b/>
      <w:bCs/>
      <w:smallCaps/>
      <w:color w:val="C0504D" w:themeColor="accent2"/>
      <w:spacing w:val="5"/>
      <w:u w:val="single"/>
    </w:rPr>
  </w:style>
  <w:style w:type="character" w:styleId="Svc1_BookTitle">
    <w:name w:val="Svc1_Book Title"/>
    <w:basedOn w:val="Svc1_DefaultParagraphFont"/>
    <w:uiPriority w:val="33"/>
    <w:qFormat/>
    <w:rsid w:val="00FC693F"/>
    <w:rPr>
      <w:b/>
      <w:bCs/>
      <w:smallCaps/>
      <w:spacing w:val="5"/>
    </w:rPr>
  </w:style>
  <w:style w:type="paragraph" w:styleId="Svc1_TOCHeading">
    <w:name w:val="Svc1_TOC Heading"/>
    <w:basedOn w:val="Svc1_Heading1"/>
    <w:next w:val="Svc1_Normal"/>
    <w:uiPriority w:val="39"/>
    <w:semiHidden/>
    <w:unhideWhenUsed/>
    <w:qFormat/>
    <w:rsid w:val="00FC693F"/>
    <w:pPr>
      <w:outlineLvl w:val="9"/>
    </w:pPr>
  </w:style>
  <w:style w:type="table" w:styleId="Svc1_TableGrid">
    <w:name w:val="Svc1_Table Grid"/>
    <w:basedOn w:val="Svc1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c1_LightShading">
    <w:name w:val="Svc1_Light Shading"/>
    <w:basedOn w:val="Svc1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c1_LightShading-Accent1">
    <w:name w:val="Svc1_Light Shading Accent 1"/>
    <w:basedOn w:val="Svc1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c1_LightShading-Accent2">
    <w:name w:val="Svc1_Light Shading Accent 2"/>
    <w:basedOn w:val="Svc1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c1_LightShading-Accent3">
    <w:name w:val="Svc1_Light Shading Accent 3"/>
    <w:basedOn w:val="Svc1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c1_LightShading-Accent4">
    <w:name w:val="Svc1_Light Shading Accent 4"/>
    <w:basedOn w:val="Svc1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c1_LightShading-Accent5">
    <w:name w:val="Svc1_Light Shading Accent 5"/>
    <w:basedOn w:val="Svc1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c1_LightShading-Accent6">
    <w:name w:val="Svc1_Light Shading Accent 6"/>
    <w:basedOn w:val="Svc1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c1_LightList">
    <w:name w:val="Svc1_Light List"/>
    <w:basedOn w:val="Svc1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c1_LightList-Accent1">
    <w:name w:val="Svc1_Light List Accent 1"/>
    <w:basedOn w:val="Svc1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c1_LightList-Accent2">
    <w:name w:val="Svc1_Light List Accent 2"/>
    <w:basedOn w:val="Svc1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c1_LightList-Accent3">
    <w:name w:val="Svc1_Light List Accent 3"/>
    <w:basedOn w:val="Svc1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c1_LightList-Accent4">
    <w:name w:val="Svc1_Light List Accent 4"/>
    <w:basedOn w:val="Svc1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c1_LightList-Accent5">
    <w:name w:val="Svc1_Light List Accent 5"/>
    <w:basedOn w:val="Svc1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c1_LightList-Accent6">
    <w:name w:val="Svc1_Light List Accent 6"/>
    <w:basedOn w:val="Svc1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c1_LightGrid">
    <w:name w:val="Svc1_Light Grid"/>
    <w:basedOn w:val="Svc1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c1_LightGrid-Accent1">
    <w:name w:val="Svc1_Light Grid Accent 1"/>
    <w:basedOn w:val="Svc1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c1_LightGrid-Accent2">
    <w:name w:val="Svc1_Light Grid Accent 2"/>
    <w:basedOn w:val="Svc1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c1_LightGrid-Accent3">
    <w:name w:val="Svc1_Light Grid Accent 3"/>
    <w:basedOn w:val="Svc1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c1_LightGrid-Accent4">
    <w:name w:val="Svc1_Light Grid Accent 4"/>
    <w:basedOn w:val="Svc1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c1_LightGrid-Accent5">
    <w:name w:val="Svc1_Light Grid Accent 5"/>
    <w:basedOn w:val="Svc1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c1_LightGrid-Accent6">
    <w:name w:val="Svc1_Light Grid Accent 6"/>
    <w:basedOn w:val="Svc1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c1_MediumShading1">
    <w:name w:val="Svc1_Medium Shading 1"/>
    <w:basedOn w:val="Svc1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vc1_MediumShading1-Accent1">
    <w:name w:val="Svc1_Medium Shading 1 Accent 1"/>
    <w:basedOn w:val="Svc1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vc1_MediumShading1-Accent2">
    <w:name w:val="Svc1_Medium Shading 1 Accent 2"/>
    <w:basedOn w:val="Svc1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vc1_MediumShading1-Accent3">
    <w:name w:val="Svc1_Medium Shading 1 Accent 3"/>
    <w:basedOn w:val="Svc1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vc1_MediumShading1-Accent4">
    <w:name w:val="Svc1_Medium Shading 1 Accent 4"/>
    <w:basedOn w:val="Svc1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vc1_MediumShading1-Accent5">
    <w:name w:val="Svc1_Medium Shading 1 Accent 5"/>
    <w:basedOn w:val="Svc1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vc1_MediumShading1-Accent6">
    <w:name w:val="Svc1_Medium Shading 1 Accent 6"/>
    <w:basedOn w:val="Svc1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vc1_MediumShading2">
    <w:name w:val="Svc1_Medium Shading 2"/>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Shading2-Accent1">
    <w:name w:val="Svc1_Medium Shading 2 Accent 1"/>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Shading2-Accent2">
    <w:name w:val="Svc1_Medium Shading 2 Accent 2"/>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Shading2-Accent3">
    <w:name w:val="Svc1_Medium Shading 2 Accent 3"/>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Shading2-Accent4">
    <w:name w:val="Svc1_Medium Shading 2 Accent 4"/>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Shading2-Accent5">
    <w:name w:val="Svc1_Medium Shading 2 Accent 5"/>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Shading2-Accent6">
    <w:name w:val="Svc1_Medium Shading 2 Accent 6"/>
    <w:basedOn w:val="Svc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1_MediumList1">
    <w:name w:val="Svc1_Medium List 1"/>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vc1_MediumList1-Accent1">
    <w:name w:val="Svc1_Medium List 1 Accent 1"/>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vc1_MediumList1-Accent2">
    <w:name w:val="Svc1_Medium List 1 Accent 2"/>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vc1_MediumList1-Accent3">
    <w:name w:val="Svc1_Medium List 1 Accent 3"/>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vc1_MediumList1-Accent4">
    <w:name w:val="Svc1_Medium List 1 Accent 4"/>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vc1_MediumList1-Accent5">
    <w:name w:val="Svc1_Medium List 1 Accent 5"/>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vc1_MediumList1-Accent6">
    <w:name w:val="Svc1_Medium List 1 Accent 6"/>
    <w:basedOn w:val="Svc1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vc1_MediumList2">
    <w:name w:val="Svc1_Medium List 2"/>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List2-Accent1">
    <w:name w:val="Svc1_Medium List 2 Accent 1"/>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List2-Accent2">
    <w:name w:val="Svc1_Medium List 2 Accent 2"/>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List2-Accent3">
    <w:name w:val="Svc1_Medium List 2 Accent 3"/>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List2-Accent4">
    <w:name w:val="Svc1_Medium List 2 Accent 4"/>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List2-Accent5">
    <w:name w:val="Svc1_Medium List 2 Accent 5"/>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List2-Accent6">
    <w:name w:val="Svc1_Medium List 2 Accent 6"/>
    <w:basedOn w:val="Svc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vc1_MediumGrid1">
    <w:name w:val="Svc1_Medium Grid 1"/>
    <w:basedOn w:val="Svc1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1_MediumGrid1-Accent1">
    <w:name w:val="Svc1_Medium Grid 1 Accent 1"/>
    <w:basedOn w:val="Svc1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1_MediumGrid1-Accent2">
    <w:name w:val="Svc1_Medium Grid 1 Accent 2"/>
    <w:basedOn w:val="Svc1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1_MediumGrid1-Accent3">
    <w:name w:val="Svc1_Medium Grid 1 Accent 3"/>
    <w:basedOn w:val="Svc1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1_MediumGrid1-Accent4">
    <w:name w:val="Svc1_Medium Grid 1 Accent 4"/>
    <w:basedOn w:val="Svc1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1_MediumGrid1-Accent5">
    <w:name w:val="Svc1_Medium Grid 1 Accent 5"/>
    <w:basedOn w:val="Svc1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1_MediumGrid1-Accent6">
    <w:name w:val="Svc1_Medium Grid 1 Accent 6"/>
    <w:basedOn w:val="Svc1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vc1_MediumGrid2">
    <w:name w:val="Svc1_Medium Grid 2"/>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vc1_MediumGrid2-Accent1">
    <w:name w:val="Svc1_Medium Grid 2 Accent 1"/>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vc1_MediumGrid2-Accent2">
    <w:name w:val="Svc1_Medium Grid 2 Accent 2"/>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vc1_MediumGrid2-Accent3">
    <w:name w:val="Svc1_Medium Grid 2 Accent 3"/>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vc1_MediumGrid2-Accent4">
    <w:name w:val="Svc1_Medium Grid 2 Accent 4"/>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vc1_MediumGrid2-Accent5">
    <w:name w:val="Svc1_Medium Grid 2 Accent 5"/>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vc1_MediumGrid2-Accent6">
    <w:name w:val="Svc1_Medium Grid 2 Accent 6"/>
    <w:basedOn w:val="Svc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vc1_MediumGrid3">
    <w:name w:val="Svc1_Medium Grid 3"/>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vc1_MediumGrid3-Accent1">
    <w:name w:val="Svc1_Medium Grid 3 Accent 1"/>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c1_MediumGrid3-Accent2">
    <w:name w:val="Svc1_Medium Grid 3 Accent 2"/>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vc1_MediumGrid3-Accent3">
    <w:name w:val="Svc1_Medium Grid 3 Accent 3"/>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vc1_MediumGrid3-Accent4">
    <w:name w:val="Svc1_Medium Grid 3 Accent 4"/>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vc1_MediumGrid3-Accent5">
    <w:name w:val="Svc1_Medium Grid 3 Accent 5"/>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c1_MediumGrid3-Accent6">
    <w:name w:val="Svc1_Medium Grid 3 Accent 6"/>
    <w:basedOn w:val="Svc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vc1_DarkList">
    <w:name w:val="Svc1_Dark List"/>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vc1_DarkList-Accent1">
    <w:name w:val="Svc1_Dark List Accent 1"/>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vc1_DarkList-Accent2">
    <w:name w:val="Svc1_Dark List Accent 2"/>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vc1_DarkList-Accent3">
    <w:name w:val="Svc1_Dark List Accent 3"/>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vc1_DarkList-Accent4">
    <w:name w:val="Svc1_Dark List Accent 4"/>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vc1_DarkList-Accent5">
    <w:name w:val="Svc1_Dark List Accent 5"/>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vc1_DarkList-Accent6">
    <w:name w:val="Svc1_Dark List Accent 6"/>
    <w:basedOn w:val="Svc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vc1_ColorfulShading">
    <w:name w:val="Svc1_Colorful Shading"/>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vc1_ColorfulShading-Accent1">
    <w:name w:val="Svc1_Colorful Shading Accent 1"/>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vc1_ColorfulShading-Accent2">
    <w:name w:val="Svc1_Colorful Shading Accent 2"/>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vc1_ColorfulShading-Accent3">
    <w:name w:val="Svc1_Colorful Shading Accent 3"/>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vc1_ColorfulShading-Accent4">
    <w:name w:val="Svc1_Colorful Shading Accent 4"/>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vc1_ColorfulShading-Accent5">
    <w:name w:val="Svc1_Colorful Shading Accent 5"/>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vc1_ColorfulShading-Accent6">
    <w:name w:val="Svc1_Colorful Shading Accent 6"/>
    <w:basedOn w:val="Svc1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vc1_ColorfulList">
    <w:name w:val="Svc1_Colorful List"/>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vc1_ColorfulList-Accent1">
    <w:name w:val="Svc1_Colorful List Accent 1"/>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vc1_ColorfulList-Accent2">
    <w:name w:val="Svc1_Colorful List Accent 2"/>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vc1_ColorfulList-Accent3">
    <w:name w:val="Svc1_Colorful List Accent 3"/>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vc1_ColorfulList-Accent4">
    <w:name w:val="Svc1_Colorful List Accent 4"/>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vc1_ColorfulList-Accent5">
    <w:name w:val="Svc1_Colorful List Accent 5"/>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vc1_ColorfulList-Accent6">
    <w:name w:val="Svc1_Colorful List Accent 6"/>
    <w:basedOn w:val="Svc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vc1_ColorfulGrid">
    <w:name w:val="Svc1_Colorful Grid"/>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1_ColorfulGrid-Accent1">
    <w:name w:val="Svc1_Colorful Grid Accent 1"/>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1_ColorfulGrid-Accent2">
    <w:name w:val="Svc1_Colorful Grid Accent 2"/>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1_ColorfulGrid-Accent3">
    <w:name w:val="Svc1_Colorful Grid Accent 3"/>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1_ColorfulGrid-Accent4">
    <w:name w:val="Svc1_Colorful Grid Accent 4"/>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1_ColorfulGrid-Accent5">
    <w:name w:val="Svc1_Colorful Grid Accent 5"/>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1_ColorfulGrid-Accent6">
    <w:name w:val="Svc1_Colorful Grid Accent 6"/>
    <w:basedOn w:val="Svc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SvcHead1_Normal">
    <w:name w:val="SvcHead1_Normal"/>
    <w:qFormat/>
    <w:rsid w:val="00FC693F"/>
    <w:pPr>
      <w:spacing w:after="120"/>
    </w:pPr>
    <w:rPr>
      <w:rFonts w:ascii="Calibri" w:hAnsi="Calibri"/>
      <w:sz w:val="20"/>
    </w:rPr>
  </w:style>
  <w:style w:type="paragraph" w:styleId="SvcHead1_Header">
    <w:name w:val="SvcHead1_header"/>
    <w:basedOn w:val="SvcHead1_Normal"/>
    <w:link w:val="SvcHead1_HeaderChar"/>
    <w:uiPriority w:val="99"/>
    <w:unhideWhenUsed/>
    <w:rsid w:val="00E618BF"/>
    <w:pPr>
      <w:tabs>
        <w:tab w:val="center" w:pos="4680"/>
        <w:tab w:val="right" w:pos="9360"/>
      </w:tabs>
      <w:spacing w:after="0" w:line="240" w:lineRule="auto"/>
    </w:pPr>
  </w:style>
  <w:style w:type="character" w:customStyle="1" w:styleId="SvcHead1_HeaderChar">
    <w:name w:val="SvcHead1_Header Char"/>
    <w:basedOn w:val="SvcHead1_DefaultParagraphFont"/>
    <w:link w:val="SvcHead1_Header"/>
    <w:uiPriority w:val="99"/>
    <w:rsid w:val="00E618BF"/>
  </w:style>
  <w:style w:type="paragraph" w:styleId="SvcHead1_Footer">
    <w:name w:val="SvcHead1_footer"/>
    <w:basedOn w:val="SvcHead1_Normal"/>
    <w:link w:val="SvcHead1_FooterChar"/>
    <w:uiPriority w:val="99"/>
    <w:unhideWhenUsed/>
    <w:rsid w:val="00E618BF"/>
    <w:pPr>
      <w:tabs>
        <w:tab w:val="center" w:pos="4680"/>
        <w:tab w:val="right" w:pos="9360"/>
      </w:tabs>
      <w:spacing w:after="0" w:line="240" w:lineRule="auto"/>
    </w:pPr>
  </w:style>
  <w:style w:type="character" w:customStyle="1" w:styleId="SvcHead1_FooterChar">
    <w:name w:val="SvcHead1_Footer Char"/>
    <w:basedOn w:val="SvcHead1_DefaultParagraphFont"/>
    <w:link w:val="SvcHead1_Footer"/>
    <w:uiPriority w:val="99"/>
    <w:rsid w:val="00E618BF"/>
  </w:style>
  <w:style w:type="paragraph" w:styleId="SvcHead1_Heading1">
    <w:name w:val="SvcHead1_heading 1"/>
    <w:basedOn w:val="SvcHead1_Normal"/>
    <w:next w:val="SvcHead1_Normal"/>
    <w:link w:val="SvcHead1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SvcHead1_Heading2">
    <w:name w:val="SvcHead1_heading 2"/>
    <w:basedOn w:val="SvcHead1_Normal"/>
    <w:next w:val="SvcHead1_Normal"/>
    <w:link w:val="SvcHead1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SvcHead1_Heading3">
    <w:name w:val="SvcHead1_heading 3"/>
    <w:basedOn w:val="SvcHead1_Normal"/>
    <w:next w:val="SvcHead1_Normal"/>
    <w:link w:val="SvcHead1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SvcHead1_Heading4">
    <w:name w:val="SvcHead1_heading 4"/>
    <w:basedOn w:val="SvcHead1_Normal"/>
    <w:next w:val="SvcHead1_Normal"/>
    <w:link w:val="SvcHead1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SvcHead1_Heading5">
    <w:name w:val="SvcHead1_heading 5"/>
    <w:basedOn w:val="SvcHead1_Normal"/>
    <w:next w:val="SvcHead1_Normal"/>
    <w:link w:val="SvcHead1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SvcHead1_Heading6">
    <w:name w:val="SvcHead1_heading 6"/>
    <w:basedOn w:val="SvcHead1_Normal"/>
    <w:next w:val="SvcHead1_Normal"/>
    <w:link w:val="SvcHead1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SvcHead1_Heading7">
    <w:name w:val="SvcHead1_heading 7"/>
    <w:basedOn w:val="SvcHead1_Normal"/>
    <w:next w:val="SvcHead1_Normal"/>
    <w:link w:val="SvcHead1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SvcHead1_Heading8">
    <w:name w:val="SvcHead1_heading 8"/>
    <w:basedOn w:val="SvcHead1_Normal"/>
    <w:next w:val="SvcHead1_Normal"/>
    <w:link w:val="SvcHead1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SvcHead1_Heading9">
    <w:name w:val="SvcHead1_heading 9"/>
    <w:basedOn w:val="SvcHead1_Normal"/>
    <w:next w:val="SvcHead1_Normal"/>
    <w:link w:val="SvcHead1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vcHead1_DefaultParagraphFont">
    <w:name w:val="SvcHead1_Default Paragraph Font"/>
    <w:uiPriority w:val="1"/>
    <w:semiHidden/>
    <w:unhideWhenUsed/>
  </w:style>
  <w:style w:type="table" w:default="1" w:styleId="SvcHead1_TableNormal">
    <w:name w:val="SvcHead1_Normal Table"/>
    <w:uiPriority w:val="99"/>
    <w:semiHidden/>
    <w:unhideWhenUsed/>
    <w:tblPr>
      <w:tblInd w:w="0" w:type="dxa"/>
      <w:tblCellMar>
        <w:top w:w="0" w:type="dxa"/>
        <w:left w:w="108" w:type="dxa"/>
        <w:bottom w:w="0" w:type="dxa"/>
        <w:right w:w="108" w:type="dxa"/>
      </w:tblCellMar>
    </w:tblPr>
  </w:style>
  <w:style w:type="numbering" w:default="1" w:styleId="SvcHead1_NoList">
    <w:name w:val="SvcHead1_No List"/>
    <w:uiPriority w:val="99"/>
    <w:semiHidden/>
    <w:unhideWhenUsed/>
  </w:style>
  <w:style w:type="paragraph" w:styleId="SvcHead1_NoSpacing">
    <w:name w:val="SvcHead1_No Spacing"/>
    <w:uiPriority w:val="1"/>
    <w:qFormat/>
    <w:rsid w:val="00FC693F"/>
    <w:pPr>
      <w:spacing w:after="0" w:line="240" w:lineRule="auto"/>
    </w:pPr>
  </w:style>
  <w:style w:type="character" w:customStyle="1" w:styleId="SvcHead1_Heading1Char">
    <w:name w:val="SvcHead1_Heading 1 Char"/>
    <w:basedOn w:val="SvcHead1_DefaultParagraphFont"/>
    <w:link w:val="SvcHead1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SvcHead1_Heading2Char">
    <w:name w:val="SvcHead1_Heading 2 Char"/>
    <w:basedOn w:val="SvcHead1_DefaultParagraphFont"/>
    <w:link w:val="SvcHead1_Heading2"/>
    <w:uiPriority w:val="9"/>
    <w:rsid w:val="00FC693F"/>
    <w:rPr>
      <w:rFonts w:asciiTheme="majorHAnsi" w:eastAsiaTheme="majorEastAsia" w:hAnsiTheme="majorHAnsi" w:cstheme="majorBidi"/>
      <w:b/>
      <w:bCs/>
      <w:color w:val="4F81BD" w:themeColor="accent1"/>
      <w:sz w:val="26"/>
      <w:szCs w:val="26"/>
    </w:rPr>
  </w:style>
  <w:style w:type="character" w:customStyle="1" w:styleId="SvcHead1_Heading3Char">
    <w:name w:val="SvcHead1_Heading 3 Char"/>
    <w:basedOn w:val="SvcHead1_DefaultParagraphFont"/>
    <w:link w:val="SvcHead1_Heading3"/>
    <w:uiPriority w:val="9"/>
    <w:rsid w:val="00FC693F"/>
    <w:rPr>
      <w:rFonts w:asciiTheme="majorHAnsi" w:eastAsiaTheme="majorEastAsia" w:hAnsiTheme="majorHAnsi" w:cstheme="majorBidi"/>
      <w:b/>
      <w:bCs/>
      <w:color w:val="4F81BD" w:themeColor="accent1"/>
    </w:rPr>
  </w:style>
  <w:style w:type="paragraph" w:styleId="SvcHead1_Title">
    <w:name w:val="SvcHead1_Title"/>
    <w:basedOn w:val="SvcHead1_Normal"/>
    <w:next w:val="SvcHead1_Normal"/>
    <w:link w:val="SvcHead1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SvcHead1_TitleChar">
    <w:name w:val="SvcHead1_Title Char"/>
    <w:basedOn w:val="SvcHead1_DefaultParagraphFont"/>
    <w:link w:val="SvcHead1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vcHead1_Subtitle">
    <w:name w:val="SvcHead1_Subtitle"/>
    <w:basedOn w:val="SvcHead1_Normal"/>
    <w:next w:val="SvcHead1_Normal"/>
    <w:link w:val="SvcHead1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vcHead1_SubtitleChar">
    <w:name w:val="SvcHead1_Subtitle Char"/>
    <w:basedOn w:val="SvcHead1_DefaultParagraphFont"/>
    <w:link w:val="SvcHead1_Subtitle"/>
    <w:uiPriority w:val="11"/>
    <w:rsid w:val="00FC693F"/>
    <w:rPr>
      <w:rFonts w:asciiTheme="majorHAnsi" w:eastAsiaTheme="majorEastAsia" w:hAnsiTheme="majorHAnsi" w:cstheme="majorBidi"/>
      <w:i/>
      <w:iCs/>
      <w:color w:val="4F81BD" w:themeColor="accent1"/>
      <w:spacing w:val="15"/>
      <w:sz w:val="24"/>
      <w:szCs w:val="24"/>
    </w:rPr>
  </w:style>
  <w:style w:type="paragraph" w:styleId="SvcHead1_ListParagraph">
    <w:name w:val="SvcHead1_List Paragraph"/>
    <w:basedOn w:val="SvcHead1_Normal"/>
    <w:uiPriority w:val="34"/>
    <w:qFormat/>
    <w:rsid w:val="00FC693F"/>
    <w:pPr>
      <w:ind w:left="720"/>
      <w:contextualSpacing/>
    </w:pPr>
  </w:style>
  <w:style w:type="paragraph" w:styleId="SvcHead1_BodyText">
    <w:name w:val="SvcHead1_Body Text"/>
    <w:basedOn w:val="SvcHead1_Normal"/>
    <w:link w:val="SvcHead1_BodyTextChar"/>
    <w:uiPriority w:val="99"/>
    <w:unhideWhenUsed/>
    <w:rsid w:val="00AA1D8D"/>
    <w:pPr>
      <w:spacing w:after="120"/>
    </w:pPr>
  </w:style>
  <w:style w:type="character" w:customStyle="1" w:styleId="SvcHead1_BodyTextChar">
    <w:name w:val="SvcHead1_Body Text Char"/>
    <w:basedOn w:val="SvcHead1_DefaultParagraphFont"/>
    <w:link w:val="SvcHead1_BodyText"/>
    <w:uiPriority w:val="99"/>
    <w:rsid w:val="00AA1D8D"/>
  </w:style>
  <w:style w:type="paragraph" w:styleId="SvcHead1_BodyText2">
    <w:name w:val="SvcHead1_Body Text 2"/>
    <w:basedOn w:val="SvcHead1_Normal"/>
    <w:link w:val="SvcHead1_BodyText2Char"/>
    <w:uiPriority w:val="99"/>
    <w:unhideWhenUsed/>
    <w:rsid w:val="00AA1D8D"/>
    <w:pPr>
      <w:spacing w:after="120" w:line="480" w:lineRule="auto"/>
    </w:pPr>
  </w:style>
  <w:style w:type="character" w:customStyle="1" w:styleId="SvcHead1_BodyText2Char">
    <w:name w:val="SvcHead1_Body Text 2 Char"/>
    <w:basedOn w:val="SvcHead1_DefaultParagraphFont"/>
    <w:link w:val="SvcHead1_BodyText2"/>
    <w:uiPriority w:val="99"/>
    <w:rsid w:val="00AA1D8D"/>
  </w:style>
  <w:style w:type="paragraph" w:styleId="SvcHead1_BodyText3">
    <w:name w:val="SvcHead1_Body Text 3"/>
    <w:basedOn w:val="SvcHead1_Normal"/>
    <w:link w:val="SvcHead1_BodyText3Char"/>
    <w:uiPriority w:val="99"/>
    <w:unhideWhenUsed/>
    <w:rsid w:val="00AA1D8D"/>
    <w:pPr>
      <w:spacing w:after="120"/>
    </w:pPr>
    <w:rPr>
      <w:sz w:val="16"/>
      <w:szCs w:val="16"/>
    </w:rPr>
  </w:style>
  <w:style w:type="character" w:customStyle="1" w:styleId="SvcHead1_BodyText3Char">
    <w:name w:val="SvcHead1_Body Text 3 Char"/>
    <w:basedOn w:val="SvcHead1_DefaultParagraphFont"/>
    <w:link w:val="SvcHead1_BodyText3"/>
    <w:uiPriority w:val="99"/>
    <w:rsid w:val="00AA1D8D"/>
    <w:rPr>
      <w:sz w:val="16"/>
      <w:szCs w:val="16"/>
    </w:rPr>
  </w:style>
  <w:style w:type="paragraph" w:styleId="SvcHead1_List">
    <w:name w:val="SvcHead1_List"/>
    <w:basedOn w:val="SvcHead1_Normal"/>
    <w:uiPriority w:val="99"/>
    <w:unhideWhenUsed/>
    <w:rsid w:val="00AA1D8D"/>
    <w:pPr>
      <w:ind w:left="360" w:hanging="360"/>
      <w:contextualSpacing/>
    </w:pPr>
  </w:style>
  <w:style w:type="paragraph" w:styleId="SvcHead1_List2">
    <w:name w:val="SvcHead1_List 2"/>
    <w:basedOn w:val="SvcHead1_Normal"/>
    <w:uiPriority w:val="99"/>
    <w:unhideWhenUsed/>
    <w:rsid w:val="00326F90"/>
    <w:pPr>
      <w:ind w:left="720" w:hanging="360"/>
      <w:contextualSpacing/>
    </w:pPr>
  </w:style>
  <w:style w:type="paragraph" w:styleId="SvcHead1_List3">
    <w:name w:val="SvcHead1_List 3"/>
    <w:basedOn w:val="SvcHead1_Normal"/>
    <w:uiPriority w:val="99"/>
    <w:unhideWhenUsed/>
    <w:rsid w:val="00326F90"/>
    <w:pPr>
      <w:ind w:left="1080" w:hanging="360"/>
      <w:contextualSpacing/>
    </w:pPr>
  </w:style>
  <w:style w:type="paragraph" w:styleId="SvcHead1_ListBullet">
    <w:name w:val="SvcHead1_List Bullet"/>
    <w:basedOn w:val="SvcHead1_Normal"/>
    <w:uiPriority w:val="99"/>
    <w:unhideWhenUsed/>
    <w:rsid w:val="00326F90"/>
    <w:pPr>
      <w:numPr>
        <w:numId w:val="1"/>
      </w:numPr>
      <w:contextualSpacing/>
    </w:pPr>
  </w:style>
  <w:style w:type="paragraph" w:styleId="SvcHead1_ListBullet2">
    <w:name w:val="SvcHead1_List Bullet 2"/>
    <w:basedOn w:val="SvcHead1_Normal"/>
    <w:uiPriority w:val="99"/>
    <w:unhideWhenUsed/>
    <w:rsid w:val="00326F90"/>
    <w:pPr>
      <w:numPr>
        <w:numId w:val="2"/>
      </w:numPr>
      <w:contextualSpacing/>
    </w:pPr>
  </w:style>
  <w:style w:type="paragraph" w:styleId="SvcHead1_ListBullet3">
    <w:name w:val="SvcHead1_List Bullet 3"/>
    <w:basedOn w:val="SvcHead1_Normal"/>
    <w:uiPriority w:val="99"/>
    <w:unhideWhenUsed/>
    <w:rsid w:val="00326F90"/>
    <w:pPr>
      <w:numPr>
        <w:numId w:val="3"/>
      </w:numPr>
      <w:contextualSpacing/>
    </w:pPr>
  </w:style>
  <w:style w:type="paragraph" w:styleId="SvcHead1_ListNumber">
    <w:name w:val="SvcHead1_List Number"/>
    <w:basedOn w:val="SvcHead1_Normal"/>
    <w:uiPriority w:val="99"/>
    <w:unhideWhenUsed/>
    <w:rsid w:val="00326F90"/>
    <w:pPr>
      <w:numPr>
        <w:numId w:val="5"/>
      </w:numPr>
      <w:contextualSpacing/>
    </w:pPr>
  </w:style>
  <w:style w:type="paragraph" w:styleId="SvcHead1_ListNumber2">
    <w:name w:val="SvcHead1_List Number 2"/>
    <w:basedOn w:val="SvcHead1_Normal"/>
    <w:uiPriority w:val="99"/>
    <w:unhideWhenUsed/>
    <w:rsid w:val="0029639D"/>
    <w:pPr>
      <w:numPr>
        <w:numId w:val="6"/>
      </w:numPr>
      <w:contextualSpacing/>
    </w:pPr>
  </w:style>
  <w:style w:type="paragraph" w:styleId="SvcHead1_ListNumber3">
    <w:name w:val="SvcHead1_List Number 3"/>
    <w:basedOn w:val="SvcHead1_Normal"/>
    <w:uiPriority w:val="99"/>
    <w:unhideWhenUsed/>
    <w:rsid w:val="0029639D"/>
    <w:pPr>
      <w:numPr>
        <w:numId w:val="7"/>
      </w:numPr>
      <w:contextualSpacing/>
    </w:pPr>
  </w:style>
  <w:style w:type="paragraph" w:styleId="SvcHead1_ListContinue">
    <w:name w:val="SvcHead1_List Continue"/>
    <w:basedOn w:val="SvcHead1_Normal"/>
    <w:uiPriority w:val="99"/>
    <w:unhideWhenUsed/>
    <w:rsid w:val="0029639D"/>
    <w:pPr>
      <w:spacing w:after="120"/>
      <w:ind w:left="360"/>
      <w:contextualSpacing/>
    </w:pPr>
  </w:style>
  <w:style w:type="paragraph" w:styleId="SvcHead1_ListContinue2">
    <w:name w:val="SvcHead1_List Continue 2"/>
    <w:basedOn w:val="SvcHead1_Normal"/>
    <w:uiPriority w:val="99"/>
    <w:unhideWhenUsed/>
    <w:rsid w:val="0029639D"/>
    <w:pPr>
      <w:spacing w:after="120"/>
      <w:ind w:left="720"/>
      <w:contextualSpacing/>
    </w:pPr>
  </w:style>
  <w:style w:type="paragraph" w:styleId="SvcHead1_ListContinue3">
    <w:name w:val="SvcHead1_List Continue 3"/>
    <w:basedOn w:val="SvcHead1_Normal"/>
    <w:uiPriority w:val="99"/>
    <w:unhideWhenUsed/>
    <w:rsid w:val="0029639D"/>
    <w:pPr>
      <w:spacing w:after="120"/>
      <w:ind w:left="1080"/>
      <w:contextualSpacing/>
    </w:pPr>
  </w:style>
  <w:style w:type="paragraph" w:styleId="SvcHead1_MacroText">
    <w:name w:val="SvcHead1_macro"/>
    <w:link w:val="SvcHead1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SvcHead1_MacroTextChar">
    <w:name w:val="SvcHead1_Macro Text Char"/>
    <w:basedOn w:val="SvcHead1_DefaultParagraphFont"/>
    <w:link w:val="SvcHead1_MacroText"/>
    <w:uiPriority w:val="99"/>
    <w:rsid w:val="0029639D"/>
    <w:rPr>
      <w:rFonts w:ascii="Courier" w:hAnsi="Courier"/>
      <w:sz w:val="20"/>
      <w:szCs w:val="20"/>
    </w:rPr>
  </w:style>
  <w:style w:type="paragraph" w:styleId="SvcHead1_Quote">
    <w:name w:val="SvcHead1_Quote"/>
    <w:basedOn w:val="SvcHead1_Normal"/>
    <w:next w:val="SvcHead1_Normal"/>
    <w:link w:val="SvcHead1_QuoteChar"/>
    <w:uiPriority w:val="29"/>
    <w:qFormat/>
    <w:rsid w:val="00FC693F"/>
    <w:rPr>
      <w:i/>
      <w:iCs/>
      <w:color w:val="000000" w:themeColor="text1"/>
    </w:rPr>
  </w:style>
  <w:style w:type="character" w:customStyle="1" w:styleId="SvcHead1_QuoteChar">
    <w:name w:val="SvcHead1_Quote Char"/>
    <w:basedOn w:val="SvcHead1_DefaultParagraphFont"/>
    <w:link w:val="SvcHead1_Quote"/>
    <w:uiPriority w:val="29"/>
    <w:rsid w:val="00FC693F"/>
    <w:rPr>
      <w:i/>
      <w:iCs/>
      <w:color w:val="000000" w:themeColor="text1"/>
    </w:rPr>
  </w:style>
  <w:style w:type="character" w:customStyle="1" w:styleId="SvcHead1_Heading4Char">
    <w:name w:val="SvcHead1_Heading 4 Char"/>
    <w:basedOn w:val="SvcHead1_DefaultParagraphFont"/>
    <w:link w:val="SvcHead1_Heading4"/>
    <w:uiPriority w:val="9"/>
    <w:semiHidden/>
    <w:rsid w:val="00FC693F"/>
    <w:rPr>
      <w:rFonts w:asciiTheme="majorHAnsi" w:eastAsiaTheme="majorEastAsia" w:hAnsiTheme="majorHAnsi" w:cstheme="majorBidi"/>
      <w:b/>
      <w:bCs/>
      <w:i/>
      <w:iCs/>
      <w:color w:val="4F81BD" w:themeColor="accent1"/>
    </w:rPr>
  </w:style>
  <w:style w:type="character" w:customStyle="1" w:styleId="SvcHead1_Heading5Char">
    <w:name w:val="SvcHead1_Heading 5 Char"/>
    <w:basedOn w:val="SvcHead1_DefaultParagraphFont"/>
    <w:link w:val="SvcHead1_Heading5"/>
    <w:uiPriority w:val="9"/>
    <w:semiHidden/>
    <w:rsid w:val="00FC693F"/>
    <w:rPr>
      <w:rFonts w:asciiTheme="majorHAnsi" w:eastAsiaTheme="majorEastAsia" w:hAnsiTheme="majorHAnsi" w:cstheme="majorBidi"/>
      <w:color w:val="243F60" w:themeColor="accent1" w:themeShade="7F"/>
    </w:rPr>
  </w:style>
  <w:style w:type="character" w:customStyle="1" w:styleId="SvcHead1_Heading6Char">
    <w:name w:val="SvcHead1_Heading 6 Char"/>
    <w:basedOn w:val="SvcHead1_DefaultParagraphFont"/>
    <w:link w:val="SvcHead1_Heading6"/>
    <w:uiPriority w:val="9"/>
    <w:semiHidden/>
    <w:rsid w:val="00FC693F"/>
    <w:rPr>
      <w:rFonts w:asciiTheme="majorHAnsi" w:eastAsiaTheme="majorEastAsia" w:hAnsiTheme="majorHAnsi" w:cstheme="majorBidi"/>
      <w:i/>
      <w:iCs/>
      <w:color w:val="243F60" w:themeColor="accent1" w:themeShade="7F"/>
    </w:rPr>
  </w:style>
  <w:style w:type="character" w:customStyle="1" w:styleId="SvcHead1_Heading7Char">
    <w:name w:val="SvcHead1_Heading 7 Char"/>
    <w:basedOn w:val="SvcHead1_DefaultParagraphFont"/>
    <w:link w:val="SvcHead1_Heading7"/>
    <w:uiPriority w:val="9"/>
    <w:semiHidden/>
    <w:rsid w:val="00FC693F"/>
    <w:rPr>
      <w:rFonts w:asciiTheme="majorHAnsi" w:eastAsiaTheme="majorEastAsia" w:hAnsiTheme="majorHAnsi" w:cstheme="majorBidi"/>
      <w:i/>
      <w:iCs/>
      <w:color w:val="404040" w:themeColor="text1" w:themeTint="BF"/>
    </w:rPr>
  </w:style>
  <w:style w:type="character" w:customStyle="1" w:styleId="SvcHead1_Heading8Char">
    <w:name w:val="SvcHead1_Heading 8 Char"/>
    <w:basedOn w:val="SvcHead1_DefaultParagraphFont"/>
    <w:link w:val="SvcHead1_Heading8"/>
    <w:uiPriority w:val="9"/>
    <w:semiHidden/>
    <w:rsid w:val="00FC693F"/>
    <w:rPr>
      <w:rFonts w:asciiTheme="majorHAnsi" w:eastAsiaTheme="majorEastAsia" w:hAnsiTheme="majorHAnsi" w:cstheme="majorBidi"/>
      <w:color w:val="4F81BD" w:themeColor="accent1"/>
      <w:sz w:val="20"/>
      <w:szCs w:val="20"/>
    </w:rPr>
  </w:style>
  <w:style w:type="character" w:customStyle="1" w:styleId="SvcHead1_Heading9Char">
    <w:name w:val="SvcHead1_Heading 9 Char"/>
    <w:basedOn w:val="SvcHead1_DefaultParagraphFont"/>
    <w:link w:val="SvcHead1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SvcHead1_Caption">
    <w:name w:val="SvcHead1_caption"/>
    <w:basedOn w:val="SvcHead1_Normal"/>
    <w:next w:val="SvcHead1_Normal"/>
    <w:uiPriority w:val="35"/>
    <w:semiHidden/>
    <w:unhideWhenUsed/>
    <w:qFormat/>
    <w:rsid w:val="00FC693F"/>
    <w:pPr>
      <w:spacing w:line="240" w:lineRule="auto"/>
    </w:pPr>
    <w:rPr>
      <w:b/>
      <w:bCs/>
      <w:color w:val="4F81BD" w:themeColor="accent1"/>
      <w:sz w:val="18"/>
      <w:szCs w:val="18"/>
    </w:rPr>
  </w:style>
  <w:style w:type="character" w:styleId="SvcHead1_Strong">
    <w:name w:val="SvcHead1_Strong"/>
    <w:basedOn w:val="SvcHead1_DefaultParagraphFont"/>
    <w:uiPriority w:val="22"/>
    <w:qFormat/>
    <w:rsid w:val="00FC693F"/>
    <w:rPr>
      <w:b/>
      <w:bCs/>
    </w:rPr>
  </w:style>
  <w:style w:type="character" w:styleId="SvcHead1_Emphasis">
    <w:name w:val="SvcHead1_Emphasis"/>
    <w:basedOn w:val="SvcHead1_DefaultParagraphFont"/>
    <w:uiPriority w:val="20"/>
    <w:qFormat/>
    <w:rsid w:val="00FC693F"/>
    <w:rPr>
      <w:i/>
      <w:iCs/>
    </w:rPr>
  </w:style>
  <w:style w:type="paragraph" w:styleId="SvcHead1_IntenseQuote">
    <w:name w:val="SvcHead1_Intense Quote"/>
    <w:basedOn w:val="SvcHead1_Normal"/>
    <w:next w:val="SvcHead1_Normal"/>
    <w:link w:val="SvcHead1_IntenseQuoteChar"/>
    <w:uiPriority w:val="30"/>
    <w:qFormat/>
    <w:rsid w:val="00FC693F"/>
    <w:pPr>
      <w:spacing w:before="200" w:after="280"/>
      <w:ind w:left="936" w:right="936"/>
    </w:pPr>
    <w:rPr>
      <w:b/>
      <w:bCs/>
      <w:i/>
      <w:iCs/>
      <w:color w:val="4F81BD" w:themeColor="accent1"/>
    </w:rPr>
  </w:style>
  <w:style w:type="character" w:customStyle="1" w:styleId="SvcHead1_IntenseQuoteChar">
    <w:name w:val="SvcHead1_Intense Quote Char"/>
    <w:basedOn w:val="SvcHead1_DefaultParagraphFont"/>
    <w:link w:val="SvcHead1_IntenseQuote"/>
    <w:uiPriority w:val="30"/>
    <w:rsid w:val="00FC693F"/>
    <w:rPr>
      <w:b/>
      <w:bCs/>
      <w:i/>
      <w:iCs/>
      <w:color w:val="4F81BD" w:themeColor="accent1"/>
    </w:rPr>
  </w:style>
  <w:style w:type="character" w:styleId="SvcHead1_SubtleEmphasis">
    <w:name w:val="SvcHead1_Subtle Emphasis"/>
    <w:basedOn w:val="SvcHead1_DefaultParagraphFont"/>
    <w:uiPriority w:val="19"/>
    <w:qFormat/>
    <w:rsid w:val="00FC693F"/>
    <w:rPr>
      <w:i/>
      <w:iCs/>
      <w:color w:val="808080" w:themeColor="text1" w:themeTint="7F"/>
    </w:rPr>
  </w:style>
  <w:style w:type="character" w:styleId="SvcHead1_IntenseEmphasis">
    <w:name w:val="SvcHead1_Intense Emphasis"/>
    <w:basedOn w:val="SvcHead1_DefaultParagraphFont"/>
    <w:uiPriority w:val="21"/>
    <w:qFormat/>
    <w:rsid w:val="00FC693F"/>
    <w:rPr>
      <w:b/>
      <w:bCs/>
      <w:i/>
      <w:iCs/>
      <w:color w:val="4F81BD" w:themeColor="accent1"/>
    </w:rPr>
  </w:style>
  <w:style w:type="character" w:styleId="SvcHead1_SubtleReference">
    <w:name w:val="SvcHead1_Subtle Reference"/>
    <w:basedOn w:val="SvcHead1_DefaultParagraphFont"/>
    <w:uiPriority w:val="31"/>
    <w:qFormat/>
    <w:rsid w:val="00FC693F"/>
    <w:rPr>
      <w:smallCaps/>
      <w:color w:val="C0504D" w:themeColor="accent2"/>
      <w:u w:val="single"/>
    </w:rPr>
  </w:style>
  <w:style w:type="character" w:styleId="SvcHead1_IntenseReference">
    <w:name w:val="SvcHead1_Intense Reference"/>
    <w:basedOn w:val="SvcHead1_DefaultParagraphFont"/>
    <w:uiPriority w:val="32"/>
    <w:qFormat/>
    <w:rsid w:val="00FC693F"/>
    <w:rPr>
      <w:b/>
      <w:bCs/>
      <w:smallCaps/>
      <w:color w:val="C0504D" w:themeColor="accent2"/>
      <w:spacing w:val="5"/>
      <w:u w:val="single"/>
    </w:rPr>
  </w:style>
  <w:style w:type="character" w:styleId="SvcHead1_BookTitle">
    <w:name w:val="SvcHead1_Book Title"/>
    <w:basedOn w:val="SvcHead1_DefaultParagraphFont"/>
    <w:uiPriority w:val="33"/>
    <w:qFormat/>
    <w:rsid w:val="00FC693F"/>
    <w:rPr>
      <w:b/>
      <w:bCs/>
      <w:smallCaps/>
      <w:spacing w:val="5"/>
    </w:rPr>
  </w:style>
  <w:style w:type="paragraph" w:styleId="SvcHead1_TOCHeading">
    <w:name w:val="SvcHead1_TOC Heading"/>
    <w:basedOn w:val="SvcHead1_Heading1"/>
    <w:next w:val="SvcHead1_Normal"/>
    <w:uiPriority w:val="39"/>
    <w:semiHidden/>
    <w:unhideWhenUsed/>
    <w:qFormat/>
    <w:rsid w:val="00FC693F"/>
    <w:pPr>
      <w:outlineLvl w:val="9"/>
    </w:pPr>
  </w:style>
  <w:style w:type="table" w:styleId="SvcHead1_TableGrid">
    <w:name w:val="SvcHead1_Table Grid"/>
    <w:basedOn w:val="SvcHead1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cHead1_LightShading">
    <w:name w:val="SvcHead1_Light Shading"/>
    <w:basedOn w:val="SvcHead1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cHead1_LightShading-Accent1">
    <w:name w:val="SvcHead1_Light Shading Accent 1"/>
    <w:basedOn w:val="SvcHead1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cHead1_LightShading-Accent2">
    <w:name w:val="SvcHead1_Light Shading Accent 2"/>
    <w:basedOn w:val="SvcHead1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cHead1_LightShading-Accent3">
    <w:name w:val="SvcHead1_Light Shading Accent 3"/>
    <w:basedOn w:val="SvcHead1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cHead1_LightShading-Accent4">
    <w:name w:val="SvcHead1_Light Shading Accent 4"/>
    <w:basedOn w:val="SvcHead1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cHead1_LightShading-Accent5">
    <w:name w:val="SvcHead1_Light Shading Accent 5"/>
    <w:basedOn w:val="SvcHead1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cHead1_LightShading-Accent6">
    <w:name w:val="SvcHead1_Light Shading Accent 6"/>
    <w:basedOn w:val="SvcHead1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cHead1_LightList">
    <w:name w:val="SvcHead1_Light List"/>
    <w:basedOn w:val="SvcHead1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cHead1_LightList-Accent1">
    <w:name w:val="SvcHead1_Light List Accent 1"/>
    <w:basedOn w:val="SvcHead1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cHead1_LightList-Accent2">
    <w:name w:val="SvcHead1_Light List Accent 2"/>
    <w:basedOn w:val="SvcHead1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cHead1_LightList-Accent3">
    <w:name w:val="SvcHead1_Light List Accent 3"/>
    <w:basedOn w:val="SvcHead1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cHead1_LightList-Accent4">
    <w:name w:val="SvcHead1_Light List Accent 4"/>
    <w:basedOn w:val="SvcHead1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cHead1_LightList-Accent5">
    <w:name w:val="SvcHead1_Light List Accent 5"/>
    <w:basedOn w:val="SvcHead1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cHead1_LightList-Accent6">
    <w:name w:val="SvcHead1_Light List Accent 6"/>
    <w:basedOn w:val="SvcHead1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cHead1_LightGrid">
    <w:name w:val="SvcHead1_Light Grid"/>
    <w:basedOn w:val="SvcHead1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cHead1_LightGrid-Accent1">
    <w:name w:val="SvcHead1_Light Grid Accent 1"/>
    <w:basedOn w:val="SvcHead1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cHead1_LightGrid-Accent2">
    <w:name w:val="SvcHead1_Light Grid Accent 2"/>
    <w:basedOn w:val="SvcHead1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cHead1_LightGrid-Accent3">
    <w:name w:val="SvcHead1_Light Grid Accent 3"/>
    <w:basedOn w:val="SvcHead1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cHead1_LightGrid-Accent4">
    <w:name w:val="SvcHead1_Light Grid Accent 4"/>
    <w:basedOn w:val="SvcHead1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cHead1_LightGrid-Accent5">
    <w:name w:val="SvcHead1_Light Grid Accent 5"/>
    <w:basedOn w:val="SvcHead1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cHead1_LightGrid-Accent6">
    <w:name w:val="SvcHead1_Light Grid Accent 6"/>
    <w:basedOn w:val="SvcHead1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cHead1_MediumShading1">
    <w:name w:val="SvcHead1_Medium Shading 1"/>
    <w:basedOn w:val="SvcHead1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vcHead1_MediumShading1-Accent1">
    <w:name w:val="SvcHead1_Medium Shading 1 Accent 1"/>
    <w:basedOn w:val="SvcHead1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vcHead1_MediumShading1-Accent2">
    <w:name w:val="SvcHead1_Medium Shading 1 Accent 2"/>
    <w:basedOn w:val="SvcHead1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vcHead1_MediumShading1-Accent3">
    <w:name w:val="SvcHead1_Medium Shading 1 Accent 3"/>
    <w:basedOn w:val="SvcHead1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vcHead1_MediumShading1-Accent4">
    <w:name w:val="SvcHead1_Medium Shading 1 Accent 4"/>
    <w:basedOn w:val="SvcHead1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vcHead1_MediumShading1-Accent5">
    <w:name w:val="SvcHead1_Medium Shading 1 Accent 5"/>
    <w:basedOn w:val="SvcHead1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vcHead1_MediumShading1-Accent6">
    <w:name w:val="SvcHead1_Medium Shading 1 Accent 6"/>
    <w:basedOn w:val="SvcHead1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vcHead1_MediumShading2">
    <w:name w:val="SvcHead1_Medium Shading 2"/>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Shading2-Accent1">
    <w:name w:val="SvcHead1_Medium Shading 2 Accent 1"/>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Shading2-Accent2">
    <w:name w:val="SvcHead1_Medium Shading 2 Accent 2"/>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Shading2-Accent3">
    <w:name w:val="SvcHead1_Medium Shading 2 Accent 3"/>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Shading2-Accent4">
    <w:name w:val="SvcHead1_Medium Shading 2 Accent 4"/>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Shading2-Accent5">
    <w:name w:val="SvcHead1_Medium Shading 2 Accent 5"/>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Shading2-Accent6">
    <w:name w:val="SvcHead1_Medium Shading 2 Accent 6"/>
    <w:basedOn w:val="Svc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vcHead1_MediumList1">
    <w:name w:val="SvcHead1_Medium List 1"/>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vcHead1_MediumList1-Accent1">
    <w:name w:val="SvcHead1_Medium List 1 Accent 1"/>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vcHead1_MediumList1-Accent2">
    <w:name w:val="SvcHead1_Medium List 1 Accent 2"/>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vcHead1_MediumList1-Accent3">
    <w:name w:val="SvcHead1_Medium List 1 Accent 3"/>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vcHead1_MediumList1-Accent4">
    <w:name w:val="SvcHead1_Medium List 1 Accent 4"/>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vcHead1_MediumList1-Accent5">
    <w:name w:val="SvcHead1_Medium List 1 Accent 5"/>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vcHead1_MediumList1-Accent6">
    <w:name w:val="SvcHead1_Medium List 1 Accent 6"/>
    <w:basedOn w:val="Svc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vcHead1_MediumList2">
    <w:name w:val="SvcHead1_Medium List 2"/>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List2-Accent1">
    <w:name w:val="SvcHead1_Medium List 2 Accent 1"/>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List2-Accent2">
    <w:name w:val="SvcHead1_Medium List 2 Accent 2"/>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List2-Accent3">
    <w:name w:val="SvcHead1_Medium List 2 Accent 3"/>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List2-Accent4">
    <w:name w:val="SvcHead1_Medium List 2 Accent 4"/>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List2-Accent5">
    <w:name w:val="SvcHead1_Medium List 2 Accent 5"/>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List2-Accent6">
    <w:name w:val="SvcHead1_Medium List 2 Accent 6"/>
    <w:basedOn w:val="Svc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vcHead1_MediumGrid1">
    <w:name w:val="SvcHead1_Medium Grid 1"/>
    <w:basedOn w:val="SvcHead1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Head1_MediumGrid1-Accent1">
    <w:name w:val="SvcHead1_Medium Grid 1 Accent 1"/>
    <w:basedOn w:val="SvcHead1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Head1_MediumGrid1-Accent2">
    <w:name w:val="SvcHead1_Medium Grid 1 Accent 2"/>
    <w:basedOn w:val="SvcHead1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Head1_MediumGrid1-Accent3">
    <w:name w:val="SvcHead1_Medium Grid 1 Accent 3"/>
    <w:basedOn w:val="SvcHead1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Head1_MediumGrid1-Accent4">
    <w:name w:val="SvcHead1_Medium Grid 1 Accent 4"/>
    <w:basedOn w:val="SvcHead1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Head1_MediumGrid1-Accent5">
    <w:name w:val="SvcHead1_Medium Grid 1 Accent 5"/>
    <w:basedOn w:val="SvcHead1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Head1_MediumGrid1-Accent6">
    <w:name w:val="SvcHead1_Medium Grid 1 Accent 6"/>
    <w:basedOn w:val="SvcHead1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vcHead1_MediumGrid2">
    <w:name w:val="SvcHead1_Medium Grid 2"/>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vcHead1_MediumGrid2-Accent1">
    <w:name w:val="SvcHead1_Medium Grid 2 Accent 1"/>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vcHead1_MediumGrid2-Accent2">
    <w:name w:val="SvcHead1_Medium Grid 2 Accent 2"/>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vcHead1_MediumGrid2-Accent3">
    <w:name w:val="SvcHead1_Medium Grid 2 Accent 3"/>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vcHead1_MediumGrid2-Accent4">
    <w:name w:val="SvcHead1_Medium Grid 2 Accent 4"/>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vcHead1_MediumGrid2-Accent5">
    <w:name w:val="SvcHead1_Medium Grid 2 Accent 5"/>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vcHead1_MediumGrid2-Accent6">
    <w:name w:val="SvcHead1_Medium Grid 2 Accent 6"/>
    <w:basedOn w:val="Svc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vcHead1_MediumGrid3">
    <w:name w:val="SvcHead1_Medium Grid 3"/>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vcHead1_MediumGrid3-Accent1">
    <w:name w:val="SvcHead1_Medium Grid 3 Accent 1"/>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cHead1_MediumGrid3-Accent2">
    <w:name w:val="SvcHead1_Medium Grid 3 Accent 2"/>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vcHead1_MediumGrid3-Accent3">
    <w:name w:val="SvcHead1_Medium Grid 3 Accent 3"/>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vcHead1_MediumGrid3-Accent4">
    <w:name w:val="SvcHead1_Medium Grid 3 Accent 4"/>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vcHead1_MediumGrid3-Accent5">
    <w:name w:val="SvcHead1_Medium Grid 3 Accent 5"/>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cHead1_MediumGrid3-Accent6">
    <w:name w:val="SvcHead1_Medium Grid 3 Accent 6"/>
    <w:basedOn w:val="Svc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vcHead1_DarkList">
    <w:name w:val="SvcHead1_Dark List"/>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vcHead1_DarkList-Accent1">
    <w:name w:val="SvcHead1_Dark List Accent 1"/>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vcHead1_DarkList-Accent2">
    <w:name w:val="SvcHead1_Dark List Accent 2"/>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vcHead1_DarkList-Accent3">
    <w:name w:val="SvcHead1_Dark List Accent 3"/>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vcHead1_DarkList-Accent4">
    <w:name w:val="SvcHead1_Dark List Accent 4"/>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vcHead1_DarkList-Accent5">
    <w:name w:val="SvcHead1_Dark List Accent 5"/>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vcHead1_DarkList-Accent6">
    <w:name w:val="SvcHead1_Dark List Accent 6"/>
    <w:basedOn w:val="Svc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vcHead1_ColorfulShading">
    <w:name w:val="SvcHead1_Colorful Shading"/>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vcHead1_ColorfulShading-Accent1">
    <w:name w:val="SvcHead1_Colorful Shading Accent 1"/>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vcHead1_ColorfulShading-Accent2">
    <w:name w:val="SvcHead1_Colorful Shading Accent 2"/>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vcHead1_ColorfulShading-Accent3">
    <w:name w:val="SvcHead1_Colorful Shading Accent 3"/>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vcHead1_ColorfulShading-Accent4">
    <w:name w:val="SvcHead1_Colorful Shading Accent 4"/>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vcHead1_ColorfulShading-Accent5">
    <w:name w:val="SvcHead1_Colorful Shading Accent 5"/>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vcHead1_ColorfulShading-Accent6">
    <w:name w:val="SvcHead1_Colorful Shading Accent 6"/>
    <w:basedOn w:val="Svc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vcHead1_ColorfulList">
    <w:name w:val="SvcHead1_Colorful List"/>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vcHead1_ColorfulList-Accent1">
    <w:name w:val="SvcHead1_Colorful List Accent 1"/>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vcHead1_ColorfulList-Accent2">
    <w:name w:val="SvcHead1_Colorful List Accent 2"/>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vcHead1_ColorfulList-Accent3">
    <w:name w:val="SvcHead1_Colorful List Accent 3"/>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vcHead1_ColorfulList-Accent4">
    <w:name w:val="SvcHead1_Colorful List Accent 4"/>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vcHead1_ColorfulList-Accent5">
    <w:name w:val="SvcHead1_Colorful List Accent 5"/>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vcHead1_ColorfulList-Accent6">
    <w:name w:val="SvcHead1_Colorful List Accent 6"/>
    <w:basedOn w:val="Svc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vcHead1_ColorfulGrid">
    <w:name w:val="SvcHead1_Colorful Grid"/>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vcHead1_ColorfulGrid-Accent1">
    <w:name w:val="SvcHead1_Colorful Grid Accent 1"/>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vcHead1_ColorfulGrid-Accent2">
    <w:name w:val="SvcHead1_Colorful Grid Accent 2"/>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vcHead1_ColorfulGrid-Accent3">
    <w:name w:val="SvcHead1_Colorful Grid Accent 3"/>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cHead1_ColorfulGrid-Accent4">
    <w:name w:val="SvcHead1_Colorful Grid Accent 4"/>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vcHead1_ColorfulGrid-Accent5">
    <w:name w:val="SvcHead1_Colorful Grid Accent 5"/>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vcHead1_ColorfulGrid-Accent6">
    <w:name w:val="SvcHead1_Colorful Grid Accent 6"/>
    <w:basedOn w:val="Svc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Legacy0_Normal">
    <w:name w:val="Legacy0_Normal"/>
    <w:qFormat/>
    <w:rsid w:val="00FC693F"/>
    <w:pPr>
      <w:spacing w:after="120"/>
    </w:pPr>
    <w:rPr>
      <w:rFonts w:ascii="Calibri" w:hAnsi="Calibri"/>
      <w:sz w:val="20"/>
    </w:rPr>
  </w:style>
  <w:style w:type="paragraph" w:styleId="Legacy0_Header">
    <w:name w:val="Legacy0_header"/>
    <w:basedOn w:val="Legacy0_Normal"/>
    <w:link w:val="Legacy0_HeaderChar"/>
    <w:uiPriority w:val="99"/>
    <w:unhideWhenUsed/>
    <w:rsid w:val="00E618BF"/>
    <w:pPr>
      <w:tabs>
        <w:tab w:val="center" w:pos="4680"/>
        <w:tab w:val="right" w:pos="9360"/>
      </w:tabs>
      <w:spacing w:after="0" w:line="240" w:lineRule="auto"/>
    </w:pPr>
  </w:style>
  <w:style w:type="character" w:customStyle="1" w:styleId="Legacy0_HeaderChar">
    <w:name w:val="Legacy0_Header Char"/>
    <w:basedOn w:val="Legacy0_DefaultParagraphFont"/>
    <w:link w:val="Legacy0_Header"/>
    <w:uiPriority w:val="99"/>
    <w:rsid w:val="00E618BF"/>
  </w:style>
  <w:style w:type="paragraph" w:styleId="Legacy0_Footer">
    <w:name w:val="Legacy0_footer"/>
    <w:basedOn w:val="Legacy0_Normal"/>
    <w:link w:val="Legacy0_FooterChar"/>
    <w:uiPriority w:val="99"/>
    <w:unhideWhenUsed/>
    <w:rsid w:val="00E618BF"/>
    <w:pPr>
      <w:tabs>
        <w:tab w:val="center" w:pos="4680"/>
        <w:tab w:val="right" w:pos="9360"/>
      </w:tabs>
      <w:spacing w:after="0" w:line="240" w:lineRule="auto"/>
    </w:pPr>
  </w:style>
  <w:style w:type="character" w:customStyle="1" w:styleId="Legacy0_FooterChar">
    <w:name w:val="Legacy0_Footer Char"/>
    <w:basedOn w:val="Legacy0_DefaultParagraphFont"/>
    <w:link w:val="Legacy0_Footer"/>
    <w:uiPriority w:val="99"/>
    <w:rsid w:val="00E618BF"/>
  </w:style>
  <w:style w:type="paragraph" w:styleId="Legacy0_Heading1">
    <w:name w:val="Legacy0_heading 1"/>
    <w:basedOn w:val="Legacy0_Normal"/>
    <w:next w:val="Legacy0_Normal"/>
    <w:link w:val="Legacy0_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Legacy0_Heading2">
    <w:name w:val="Legacy0_heading 2"/>
    <w:basedOn w:val="Legacy0_Normal"/>
    <w:next w:val="Legacy0_Normal"/>
    <w:link w:val="Legacy0_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Legacy0_Heading3">
    <w:name w:val="Legacy0_heading 3"/>
    <w:basedOn w:val="Legacy0_Normal"/>
    <w:next w:val="Legacy0_Normal"/>
    <w:link w:val="Legacy0_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Legacy0_Heading4">
    <w:name w:val="Legacy0_heading 4"/>
    <w:basedOn w:val="Legacy0_Normal"/>
    <w:next w:val="Legacy0_Normal"/>
    <w:link w:val="Legacy0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Legacy0_Heading5">
    <w:name w:val="Legacy0_heading 5"/>
    <w:basedOn w:val="Legacy0_Normal"/>
    <w:next w:val="Legacy0_Normal"/>
    <w:link w:val="Legacy0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Legacy0_Heading6">
    <w:name w:val="Legacy0_heading 6"/>
    <w:basedOn w:val="Legacy0_Normal"/>
    <w:next w:val="Legacy0_Normal"/>
    <w:link w:val="Legacy0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Legacy0_Heading7">
    <w:name w:val="Legacy0_heading 7"/>
    <w:basedOn w:val="Legacy0_Normal"/>
    <w:next w:val="Legacy0_Normal"/>
    <w:link w:val="Legacy0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Legacy0_Heading8">
    <w:name w:val="Legacy0_heading 8"/>
    <w:basedOn w:val="Legacy0_Normal"/>
    <w:next w:val="Legacy0_Normal"/>
    <w:link w:val="Legacy0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Legacy0_Heading9">
    <w:name w:val="Legacy0_heading 9"/>
    <w:basedOn w:val="Legacy0_Normal"/>
    <w:next w:val="Legacy0_Normal"/>
    <w:link w:val="Legacy0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egacy0_DefaultParagraphFont">
    <w:name w:val="Legacy0_Default Paragraph Font"/>
    <w:uiPriority w:val="1"/>
    <w:semiHidden/>
    <w:unhideWhenUsed/>
  </w:style>
  <w:style w:type="table" w:default="1" w:styleId="Legacy0_TableNormal">
    <w:name w:val="Legacy0_Normal Table"/>
    <w:uiPriority w:val="99"/>
    <w:semiHidden/>
    <w:unhideWhenUsed/>
    <w:tblPr>
      <w:tblInd w:w="0" w:type="dxa"/>
      <w:tblCellMar>
        <w:top w:w="0" w:type="dxa"/>
        <w:left w:w="108" w:type="dxa"/>
        <w:bottom w:w="0" w:type="dxa"/>
        <w:right w:w="108" w:type="dxa"/>
      </w:tblCellMar>
    </w:tblPr>
  </w:style>
  <w:style w:type="numbering" w:default="1" w:styleId="Legacy0_NoList">
    <w:name w:val="Legacy0_No List"/>
    <w:uiPriority w:val="99"/>
    <w:semiHidden/>
    <w:unhideWhenUsed/>
  </w:style>
  <w:style w:type="paragraph" w:styleId="Legacy0_NoSpacing">
    <w:name w:val="Legacy0_No Spacing"/>
    <w:uiPriority w:val="1"/>
    <w:qFormat/>
    <w:rsid w:val="00FC693F"/>
    <w:pPr>
      <w:spacing w:after="0" w:line="240" w:lineRule="auto"/>
    </w:pPr>
  </w:style>
  <w:style w:type="character" w:customStyle="1" w:styleId="Legacy0_Heading1Char">
    <w:name w:val="Legacy0_Heading 1 Char"/>
    <w:basedOn w:val="Legacy0_DefaultParagraphFont"/>
    <w:link w:val="Legacy0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Legacy0_Heading2Char">
    <w:name w:val="Legacy0_Heading 2 Char"/>
    <w:basedOn w:val="Legacy0_DefaultParagraphFont"/>
    <w:link w:val="Legacy0_Heading2"/>
    <w:uiPriority w:val="9"/>
    <w:rsid w:val="00FC693F"/>
    <w:rPr>
      <w:rFonts w:asciiTheme="majorHAnsi" w:eastAsiaTheme="majorEastAsia" w:hAnsiTheme="majorHAnsi" w:cstheme="majorBidi"/>
      <w:b/>
      <w:bCs/>
      <w:color w:val="4F81BD" w:themeColor="accent1"/>
      <w:sz w:val="26"/>
      <w:szCs w:val="26"/>
    </w:rPr>
  </w:style>
  <w:style w:type="character" w:customStyle="1" w:styleId="Legacy0_Heading3Char">
    <w:name w:val="Legacy0_Heading 3 Char"/>
    <w:basedOn w:val="Legacy0_DefaultParagraphFont"/>
    <w:link w:val="Legacy0_Heading3"/>
    <w:uiPriority w:val="9"/>
    <w:rsid w:val="00FC693F"/>
    <w:rPr>
      <w:rFonts w:asciiTheme="majorHAnsi" w:eastAsiaTheme="majorEastAsia" w:hAnsiTheme="majorHAnsi" w:cstheme="majorBidi"/>
      <w:b/>
      <w:bCs/>
      <w:color w:val="4F81BD" w:themeColor="accent1"/>
    </w:rPr>
  </w:style>
  <w:style w:type="paragraph" w:styleId="Legacy0_Title">
    <w:name w:val="Legacy0_Title"/>
    <w:basedOn w:val="Legacy0_Normal"/>
    <w:next w:val="Legacy0_Normal"/>
    <w:link w:val="Legacy0_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Legacy0_TitleChar">
    <w:name w:val="Legacy0_Title Char"/>
    <w:basedOn w:val="Legacy0_DefaultParagraphFont"/>
    <w:link w:val="Legacy0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egacy0_Subtitle">
    <w:name w:val="Legacy0_Subtitle"/>
    <w:basedOn w:val="Legacy0_Normal"/>
    <w:next w:val="Legacy0_Normal"/>
    <w:link w:val="Legacy0_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Legacy0_SubtitleChar">
    <w:name w:val="Legacy0_Subtitle Char"/>
    <w:basedOn w:val="Legacy0_DefaultParagraphFont"/>
    <w:link w:val="Legacy0_Subtitle"/>
    <w:uiPriority w:val="11"/>
    <w:rsid w:val="00FC693F"/>
    <w:rPr>
      <w:rFonts w:asciiTheme="majorHAnsi" w:eastAsiaTheme="majorEastAsia" w:hAnsiTheme="majorHAnsi" w:cstheme="majorBidi"/>
      <w:i/>
      <w:iCs/>
      <w:color w:val="4F81BD" w:themeColor="accent1"/>
      <w:spacing w:val="15"/>
      <w:sz w:val="24"/>
      <w:szCs w:val="24"/>
    </w:rPr>
  </w:style>
  <w:style w:type="paragraph" w:styleId="Legacy0_ListParagraph">
    <w:name w:val="Legacy0_List Paragraph"/>
    <w:basedOn w:val="Legacy0_Normal"/>
    <w:uiPriority w:val="34"/>
    <w:qFormat/>
    <w:rsid w:val="00FC693F"/>
    <w:pPr>
      <w:ind w:left="720"/>
      <w:contextualSpacing/>
    </w:pPr>
  </w:style>
  <w:style w:type="paragraph" w:styleId="Legacy0_BodyText">
    <w:name w:val="Legacy0_Body Text"/>
    <w:basedOn w:val="Legacy0_Normal"/>
    <w:link w:val="Legacy0_BodyTextChar"/>
    <w:uiPriority w:val="99"/>
    <w:unhideWhenUsed/>
    <w:rsid w:val="00AA1D8D"/>
    <w:pPr>
      <w:spacing w:after="120"/>
    </w:pPr>
  </w:style>
  <w:style w:type="character" w:customStyle="1" w:styleId="Legacy0_BodyTextChar">
    <w:name w:val="Legacy0_Body Text Char"/>
    <w:basedOn w:val="Legacy0_DefaultParagraphFont"/>
    <w:link w:val="Legacy0_BodyText"/>
    <w:uiPriority w:val="99"/>
    <w:rsid w:val="00AA1D8D"/>
  </w:style>
  <w:style w:type="paragraph" w:styleId="Legacy0_BodyText2">
    <w:name w:val="Legacy0_Body Text 2"/>
    <w:basedOn w:val="Legacy0_Normal"/>
    <w:link w:val="Legacy0_BodyText2Char"/>
    <w:uiPriority w:val="99"/>
    <w:unhideWhenUsed/>
    <w:rsid w:val="00AA1D8D"/>
    <w:pPr>
      <w:spacing w:after="120" w:line="480" w:lineRule="auto"/>
    </w:pPr>
  </w:style>
  <w:style w:type="character" w:customStyle="1" w:styleId="Legacy0_BodyText2Char">
    <w:name w:val="Legacy0_Body Text 2 Char"/>
    <w:basedOn w:val="Legacy0_DefaultParagraphFont"/>
    <w:link w:val="Legacy0_BodyText2"/>
    <w:uiPriority w:val="99"/>
    <w:rsid w:val="00AA1D8D"/>
  </w:style>
  <w:style w:type="paragraph" w:styleId="Legacy0_BodyText3">
    <w:name w:val="Legacy0_Body Text 3"/>
    <w:basedOn w:val="Legacy0_Normal"/>
    <w:link w:val="Legacy0_BodyText3Char"/>
    <w:uiPriority w:val="99"/>
    <w:unhideWhenUsed/>
    <w:rsid w:val="00AA1D8D"/>
    <w:pPr>
      <w:spacing w:after="120"/>
    </w:pPr>
    <w:rPr>
      <w:sz w:val="16"/>
      <w:szCs w:val="16"/>
    </w:rPr>
  </w:style>
  <w:style w:type="character" w:customStyle="1" w:styleId="Legacy0_BodyText3Char">
    <w:name w:val="Legacy0_Body Text 3 Char"/>
    <w:basedOn w:val="Legacy0_DefaultParagraphFont"/>
    <w:link w:val="Legacy0_BodyText3"/>
    <w:uiPriority w:val="99"/>
    <w:rsid w:val="00AA1D8D"/>
    <w:rPr>
      <w:sz w:val="16"/>
      <w:szCs w:val="16"/>
    </w:rPr>
  </w:style>
  <w:style w:type="paragraph" w:styleId="Legacy0_List">
    <w:name w:val="Legacy0_List"/>
    <w:basedOn w:val="Legacy0_Normal"/>
    <w:uiPriority w:val="99"/>
    <w:unhideWhenUsed/>
    <w:rsid w:val="00AA1D8D"/>
    <w:pPr>
      <w:ind w:left="360" w:hanging="360"/>
      <w:contextualSpacing/>
    </w:pPr>
  </w:style>
  <w:style w:type="paragraph" w:styleId="Legacy0_List2">
    <w:name w:val="Legacy0_List 2"/>
    <w:basedOn w:val="Legacy0_Normal"/>
    <w:uiPriority w:val="99"/>
    <w:unhideWhenUsed/>
    <w:rsid w:val="00326F90"/>
    <w:pPr>
      <w:ind w:left="720" w:hanging="360"/>
      <w:contextualSpacing/>
    </w:pPr>
  </w:style>
  <w:style w:type="paragraph" w:styleId="Legacy0_List3">
    <w:name w:val="Legacy0_List 3"/>
    <w:basedOn w:val="Legacy0_Normal"/>
    <w:uiPriority w:val="99"/>
    <w:unhideWhenUsed/>
    <w:rsid w:val="00326F90"/>
    <w:pPr>
      <w:ind w:left="1080" w:hanging="360"/>
      <w:contextualSpacing/>
    </w:pPr>
  </w:style>
  <w:style w:type="paragraph" w:styleId="Legacy0_ListBullet">
    <w:name w:val="Legacy0_List Bullet"/>
    <w:basedOn w:val="Legacy0_Normal"/>
    <w:uiPriority w:val="99"/>
    <w:unhideWhenUsed/>
    <w:rsid w:val="00326F90"/>
    <w:pPr>
      <w:numPr>
        <w:numId w:val="1"/>
      </w:numPr>
      <w:contextualSpacing/>
    </w:pPr>
  </w:style>
  <w:style w:type="paragraph" w:styleId="Legacy0_ListBullet2">
    <w:name w:val="Legacy0_List Bullet 2"/>
    <w:basedOn w:val="Legacy0_Normal"/>
    <w:uiPriority w:val="99"/>
    <w:unhideWhenUsed/>
    <w:rsid w:val="00326F90"/>
    <w:pPr>
      <w:numPr>
        <w:numId w:val="2"/>
      </w:numPr>
      <w:contextualSpacing/>
    </w:pPr>
  </w:style>
  <w:style w:type="paragraph" w:styleId="Legacy0_ListBullet3">
    <w:name w:val="Legacy0_List Bullet 3"/>
    <w:basedOn w:val="Legacy0_Normal"/>
    <w:uiPriority w:val="99"/>
    <w:unhideWhenUsed/>
    <w:rsid w:val="00326F90"/>
    <w:pPr>
      <w:numPr>
        <w:numId w:val="3"/>
      </w:numPr>
      <w:contextualSpacing/>
    </w:pPr>
  </w:style>
  <w:style w:type="paragraph" w:styleId="Legacy0_ListNumber">
    <w:name w:val="Legacy0_List Number"/>
    <w:basedOn w:val="Legacy0_Normal"/>
    <w:uiPriority w:val="99"/>
    <w:unhideWhenUsed/>
    <w:rsid w:val="00326F90"/>
    <w:pPr>
      <w:numPr>
        <w:numId w:val="5"/>
      </w:numPr>
      <w:contextualSpacing/>
    </w:pPr>
  </w:style>
  <w:style w:type="paragraph" w:styleId="Legacy0_ListNumber2">
    <w:name w:val="Legacy0_List Number 2"/>
    <w:basedOn w:val="Legacy0_Normal"/>
    <w:uiPriority w:val="99"/>
    <w:unhideWhenUsed/>
    <w:rsid w:val="0029639D"/>
    <w:pPr>
      <w:numPr>
        <w:numId w:val="6"/>
      </w:numPr>
      <w:contextualSpacing/>
    </w:pPr>
  </w:style>
  <w:style w:type="paragraph" w:styleId="Legacy0_ListNumber3">
    <w:name w:val="Legacy0_List Number 3"/>
    <w:basedOn w:val="Legacy0_Normal"/>
    <w:uiPriority w:val="99"/>
    <w:unhideWhenUsed/>
    <w:rsid w:val="0029639D"/>
    <w:pPr>
      <w:numPr>
        <w:numId w:val="7"/>
      </w:numPr>
      <w:contextualSpacing/>
    </w:pPr>
  </w:style>
  <w:style w:type="paragraph" w:styleId="Legacy0_ListContinue">
    <w:name w:val="Legacy0_List Continue"/>
    <w:basedOn w:val="Legacy0_Normal"/>
    <w:uiPriority w:val="99"/>
    <w:unhideWhenUsed/>
    <w:rsid w:val="0029639D"/>
    <w:pPr>
      <w:spacing w:after="120"/>
      <w:ind w:left="360"/>
      <w:contextualSpacing/>
    </w:pPr>
  </w:style>
  <w:style w:type="paragraph" w:styleId="Legacy0_ListContinue2">
    <w:name w:val="Legacy0_List Continue 2"/>
    <w:basedOn w:val="Legacy0_Normal"/>
    <w:uiPriority w:val="99"/>
    <w:unhideWhenUsed/>
    <w:rsid w:val="0029639D"/>
    <w:pPr>
      <w:spacing w:after="120"/>
      <w:ind w:left="720"/>
      <w:contextualSpacing/>
    </w:pPr>
  </w:style>
  <w:style w:type="paragraph" w:styleId="Legacy0_ListContinue3">
    <w:name w:val="Legacy0_List Continue 3"/>
    <w:basedOn w:val="Legacy0_Normal"/>
    <w:uiPriority w:val="99"/>
    <w:unhideWhenUsed/>
    <w:rsid w:val="0029639D"/>
    <w:pPr>
      <w:spacing w:after="120"/>
      <w:ind w:left="1080"/>
      <w:contextualSpacing/>
    </w:pPr>
  </w:style>
  <w:style w:type="paragraph" w:styleId="Legacy0_MacroText">
    <w:name w:val="Legacy0_macro"/>
    <w:link w:val="Legacy0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Legacy0_MacroTextChar">
    <w:name w:val="Legacy0_Macro Text Char"/>
    <w:basedOn w:val="Legacy0_DefaultParagraphFont"/>
    <w:link w:val="Legacy0_MacroText"/>
    <w:uiPriority w:val="99"/>
    <w:rsid w:val="0029639D"/>
    <w:rPr>
      <w:rFonts w:ascii="Courier" w:hAnsi="Courier"/>
      <w:sz w:val="20"/>
      <w:szCs w:val="20"/>
    </w:rPr>
  </w:style>
  <w:style w:type="paragraph" w:styleId="Legacy0_Quote">
    <w:name w:val="Legacy0_Quote"/>
    <w:basedOn w:val="Legacy0_Normal"/>
    <w:next w:val="Legacy0_Normal"/>
    <w:link w:val="Legacy0_QuoteChar"/>
    <w:uiPriority w:val="29"/>
    <w:qFormat/>
    <w:rsid w:val="00FC693F"/>
    <w:rPr>
      <w:i/>
      <w:iCs/>
      <w:color w:val="000000" w:themeColor="text1"/>
    </w:rPr>
  </w:style>
  <w:style w:type="character" w:customStyle="1" w:styleId="Legacy0_QuoteChar">
    <w:name w:val="Legacy0_Quote Char"/>
    <w:basedOn w:val="Legacy0_DefaultParagraphFont"/>
    <w:link w:val="Legacy0_Quote"/>
    <w:uiPriority w:val="29"/>
    <w:rsid w:val="00FC693F"/>
    <w:rPr>
      <w:i/>
      <w:iCs/>
      <w:color w:val="000000" w:themeColor="text1"/>
    </w:rPr>
  </w:style>
  <w:style w:type="character" w:customStyle="1" w:styleId="Legacy0_Heading4Char">
    <w:name w:val="Legacy0_Heading 4 Char"/>
    <w:basedOn w:val="Legacy0_DefaultParagraphFont"/>
    <w:link w:val="Legacy0_Heading4"/>
    <w:uiPriority w:val="9"/>
    <w:semiHidden/>
    <w:rsid w:val="00FC693F"/>
    <w:rPr>
      <w:rFonts w:asciiTheme="majorHAnsi" w:eastAsiaTheme="majorEastAsia" w:hAnsiTheme="majorHAnsi" w:cstheme="majorBidi"/>
      <w:b/>
      <w:bCs/>
      <w:i/>
      <w:iCs/>
      <w:color w:val="4F81BD" w:themeColor="accent1"/>
    </w:rPr>
  </w:style>
  <w:style w:type="character" w:customStyle="1" w:styleId="Legacy0_Heading5Char">
    <w:name w:val="Legacy0_Heading 5 Char"/>
    <w:basedOn w:val="Legacy0_DefaultParagraphFont"/>
    <w:link w:val="Legacy0_Heading5"/>
    <w:uiPriority w:val="9"/>
    <w:semiHidden/>
    <w:rsid w:val="00FC693F"/>
    <w:rPr>
      <w:rFonts w:asciiTheme="majorHAnsi" w:eastAsiaTheme="majorEastAsia" w:hAnsiTheme="majorHAnsi" w:cstheme="majorBidi"/>
      <w:color w:val="243F60" w:themeColor="accent1" w:themeShade="7F"/>
    </w:rPr>
  </w:style>
  <w:style w:type="character" w:customStyle="1" w:styleId="Legacy0_Heading6Char">
    <w:name w:val="Legacy0_Heading 6 Char"/>
    <w:basedOn w:val="Legacy0_DefaultParagraphFont"/>
    <w:link w:val="Legacy0_Heading6"/>
    <w:uiPriority w:val="9"/>
    <w:semiHidden/>
    <w:rsid w:val="00FC693F"/>
    <w:rPr>
      <w:rFonts w:asciiTheme="majorHAnsi" w:eastAsiaTheme="majorEastAsia" w:hAnsiTheme="majorHAnsi" w:cstheme="majorBidi"/>
      <w:i/>
      <w:iCs/>
      <w:color w:val="243F60" w:themeColor="accent1" w:themeShade="7F"/>
    </w:rPr>
  </w:style>
  <w:style w:type="character" w:customStyle="1" w:styleId="Legacy0_Heading7Char">
    <w:name w:val="Legacy0_Heading 7 Char"/>
    <w:basedOn w:val="Legacy0_DefaultParagraphFont"/>
    <w:link w:val="Legacy0_Heading7"/>
    <w:uiPriority w:val="9"/>
    <w:semiHidden/>
    <w:rsid w:val="00FC693F"/>
    <w:rPr>
      <w:rFonts w:asciiTheme="majorHAnsi" w:eastAsiaTheme="majorEastAsia" w:hAnsiTheme="majorHAnsi" w:cstheme="majorBidi"/>
      <w:i/>
      <w:iCs/>
      <w:color w:val="404040" w:themeColor="text1" w:themeTint="BF"/>
    </w:rPr>
  </w:style>
  <w:style w:type="character" w:customStyle="1" w:styleId="Legacy0_Heading8Char">
    <w:name w:val="Legacy0_Heading 8 Char"/>
    <w:basedOn w:val="Legacy0_DefaultParagraphFont"/>
    <w:link w:val="Legacy0_Heading8"/>
    <w:uiPriority w:val="9"/>
    <w:semiHidden/>
    <w:rsid w:val="00FC693F"/>
    <w:rPr>
      <w:rFonts w:asciiTheme="majorHAnsi" w:eastAsiaTheme="majorEastAsia" w:hAnsiTheme="majorHAnsi" w:cstheme="majorBidi"/>
      <w:color w:val="4F81BD" w:themeColor="accent1"/>
      <w:sz w:val="20"/>
      <w:szCs w:val="20"/>
    </w:rPr>
  </w:style>
  <w:style w:type="character" w:customStyle="1" w:styleId="Legacy0_Heading9Char">
    <w:name w:val="Legacy0_Heading 9 Char"/>
    <w:basedOn w:val="Legacy0_DefaultParagraphFont"/>
    <w:link w:val="Legacy0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Legacy0_Caption">
    <w:name w:val="Legacy0_caption"/>
    <w:basedOn w:val="Legacy0_Normal"/>
    <w:next w:val="Legacy0_Normal"/>
    <w:uiPriority w:val="35"/>
    <w:semiHidden/>
    <w:unhideWhenUsed/>
    <w:qFormat/>
    <w:rsid w:val="00FC693F"/>
    <w:pPr>
      <w:spacing w:line="240" w:lineRule="auto"/>
    </w:pPr>
    <w:rPr>
      <w:b/>
      <w:bCs/>
      <w:color w:val="4F81BD" w:themeColor="accent1"/>
      <w:sz w:val="18"/>
      <w:szCs w:val="18"/>
    </w:rPr>
  </w:style>
  <w:style w:type="character" w:styleId="Legacy0_Strong">
    <w:name w:val="Legacy0_Strong"/>
    <w:basedOn w:val="Legacy0_DefaultParagraphFont"/>
    <w:uiPriority w:val="22"/>
    <w:qFormat/>
    <w:rsid w:val="00FC693F"/>
    <w:rPr>
      <w:b/>
      <w:bCs/>
    </w:rPr>
  </w:style>
  <w:style w:type="character" w:styleId="Legacy0_Emphasis">
    <w:name w:val="Legacy0_Emphasis"/>
    <w:basedOn w:val="Legacy0_DefaultParagraphFont"/>
    <w:uiPriority w:val="20"/>
    <w:qFormat/>
    <w:rsid w:val="00FC693F"/>
    <w:rPr>
      <w:i/>
      <w:iCs/>
    </w:rPr>
  </w:style>
  <w:style w:type="paragraph" w:styleId="Legacy0_IntenseQuote">
    <w:name w:val="Legacy0_Intense Quote"/>
    <w:basedOn w:val="Legacy0_Normal"/>
    <w:next w:val="Legacy0_Normal"/>
    <w:link w:val="Legacy0_IntenseQuoteChar"/>
    <w:uiPriority w:val="30"/>
    <w:qFormat/>
    <w:rsid w:val="00FC693F"/>
    <w:pPr>
      <w:spacing w:before="200" w:after="280"/>
      <w:ind w:left="936" w:right="936"/>
    </w:pPr>
    <w:rPr>
      <w:b/>
      <w:bCs/>
      <w:i/>
      <w:iCs/>
      <w:color w:val="4F81BD" w:themeColor="accent1"/>
    </w:rPr>
  </w:style>
  <w:style w:type="character" w:customStyle="1" w:styleId="Legacy0_IntenseQuoteChar">
    <w:name w:val="Legacy0_Intense Quote Char"/>
    <w:basedOn w:val="Legacy0_DefaultParagraphFont"/>
    <w:link w:val="Legacy0_IntenseQuote"/>
    <w:uiPriority w:val="30"/>
    <w:rsid w:val="00FC693F"/>
    <w:rPr>
      <w:b/>
      <w:bCs/>
      <w:i/>
      <w:iCs/>
      <w:color w:val="4F81BD" w:themeColor="accent1"/>
    </w:rPr>
  </w:style>
  <w:style w:type="character" w:styleId="Legacy0_SubtleEmphasis">
    <w:name w:val="Legacy0_Subtle Emphasis"/>
    <w:basedOn w:val="Legacy0_DefaultParagraphFont"/>
    <w:uiPriority w:val="19"/>
    <w:qFormat/>
    <w:rsid w:val="00FC693F"/>
    <w:rPr>
      <w:i/>
      <w:iCs/>
      <w:color w:val="808080" w:themeColor="text1" w:themeTint="7F"/>
    </w:rPr>
  </w:style>
  <w:style w:type="character" w:styleId="Legacy0_IntenseEmphasis">
    <w:name w:val="Legacy0_Intense Emphasis"/>
    <w:basedOn w:val="Legacy0_DefaultParagraphFont"/>
    <w:uiPriority w:val="21"/>
    <w:qFormat/>
    <w:rsid w:val="00FC693F"/>
    <w:rPr>
      <w:b/>
      <w:bCs/>
      <w:i/>
      <w:iCs/>
      <w:color w:val="4F81BD" w:themeColor="accent1"/>
    </w:rPr>
  </w:style>
  <w:style w:type="character" w:styleId="Legacy0_SubtleReference">
    <w:name w:val="Legacy0_Subtle Reference"/>
    <w:basedOn w:val="Legacy0_DefaultParagraphFont"/>
    <w:uiPriority w:val="31"/>
    <w:qFormat/>
    <w:rsid w:val="00FC693F"/>
    <w:rPr>
      <w:smallCaps/>
      <w:color w:val="C0504D" w:themeColor="accent2"/>
      <w:u w:val="single"/>
    </w:rPr>
  </w:style>
  <w:style w:type="character" w:styleId="Legacy0_IntenseReference">
    <w:name w:val="Legacy0_Intense Reference"/>
    <w:basedOn w:val="Legacy0_DefaultParagraphFont"/>
    <w:uiPriority w:val="32"/>
    <w:qFormat/>
    <w:rsid w:val="00FC693F"/>
    <w:rPr>
      <w:b/>
      <w:bCs/>
      <w:smallCaps/>
      <w:color w:val="C0504D" w:themeColor="accent2"/>
      <w:spacing w:val="5"/>
      <w:u w:val="single"/>
    </w:rPr>
  </w:style>
  <w:style w:type="character" w:styleId="Legacy0_BookTitle">
    <w:name w:val="Legacy0_Book Title"/>
    <w:basedOn w:val="Legacy0_DefaultParagraphFont"/>
    <w:uiPriority w:val="33"/>
    <w:qFormat/>
    <w:rsid w:val="00FC693F"/>
    <w:rPr>
      <w:b/>
      <w:bCs/>
      <w:smallCaps/>
      <w:spacing w:val="5"/>
    </w:rPr>
  </w:style>
  <w:style w:type="paragraph" w:styleId="Legacy0_TOCHeading">
    <w:name w:val="Legacy0_TOC Heading"/>
    <w:basedOn w:val="Legacy0_Heading1"/>
    <w:next w:val="Legacy0_Normal"/>
    <w:uiPriority w:val="39"/>
    <w:semiHidden/>
    <w:unhideWhenUsed/>
    <w:qFormat/>
    <w:rsid w:val="00FC693F"/>
    <w:pPr>
      <w:outlineLvl w:val="9"/>
    </w:pPr>
  </w:style>
  <w:style w:type="table" w:styleId="Legacy0_TableGrid">
    <w:name w:val="Legacy0_Table Grid"/>
    <w:basedOn w:val="Legacy0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egacy0_LightShading">
    <w:name w:val="Legacy0_Light Shading"/>
    <w:basedOn w:val="Legacy0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egacy0_LightShading-Accent1">
    <w:name w:val="Legacy0_Light Shading Accent 1"/>
    <w:basedOn w:val="Legacy0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egacy0_LightShading-Accent2">
    <w:name w:val="Legacy0_Light Shading Accent 2"/>
    <w:basedOn w:val="Legacy0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egacy0_LightShading-Accent3">
    <w:name w:val="Legacy0_Light Shading Accent 3"/>
    <w:basedOn w:val="Legacy0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egacy0_LightShading-Accent4">
    <w:name w:val="Legacy0_Light Shading Accent 4"/>
    <w:basedOn w:val="Legacy0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egacy0_LightShading-Accent5">
    <w:name w:val="Legacy0_Light Shading Accent 5"/>
    <w:basedOn w:val="Legacy0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egacy0_LightShading-Accent6">
    <w:name w:val="Legacy0_Light Shading Accent 6"/>
    <w:basedOn w:val="Legacy0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egacy0_LightList">
    <w:name w:val="Legacy0_Light List"/>
    <w:basedOn w:val="Legacy0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egacy0_LightList-Accent1">
    <w:name w:val="Legacy0_Light List Accent 1"/>
    <w:basedOn w:val="Legacy0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egacy0_LightList-Accent2">
    <w:name w:val="Legacy0_Light List Accent 2"/>
    <w:basedOn w:val="Legacy0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egacy0_LightList-Accent3">
    <w:name w:val="Legacy0_Light List Accent 3"/>
    <w:basedOn w:val="Legacy0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egacy0_LightList-Accent4">
    <w:name w:val="Legacy0_Light List Accent 4"/>
    <w:basedOn w:val="Legacy0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egacy0_LightList-Accent5">
    <w:name w:val="Legacy0_Light List Accent 5"/>
    <w:basedOn w:val="Legacy0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egacy0_LightList-Accent6">
    <w:name w:val="Legacy0_Light List Accent 6"/>
    <w:basedOn w:val="Legacy0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egacy0_LightGrid">
    <w:name w:val="Legacy0_Light Grid"/>
    <w:basedOn w:val="Legacy0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egacy0_LightGrid-Accent1">
    <w:name w:val="Legacy0_Light Grid Accent 1"/>
    <w:basedOn w:val="Legacy0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egacy0_LightGrid-Accent2">
    <w:name w:val="Legacy0_Light Grid Accent 2"/>
    <w:basedOn w:val="Legacy0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egacy0_LightGrid-Accent3">
    <w:name w:val="Legacy0_Light Grid Accent 3"/>
    <w:basedOn w:val="Legacy0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egacy0_LightGrid-Accent4">
    <w:name w:val="Legacy0_Light Grid Accent 4"/>
    <w:basedOn w:val="Legacy0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egacy0_LightGrid-Accent5">
    <w:name w:val="Legacy0_Light Grid Accent 5"/>
    <w:basedOn w:val="Legacy0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egacy0_LightGrid-Accent6">
    <w:name w:val="Legacy0_Light Grid Accent 6"/>
    <w:basedOn w:val="Legacy0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egacy0_MediumShading1">
    <w:name w:val="Legacy0_Medium Shading 1"/>
    <w:basedOn w:val="Legacy0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egacy0_MediumShading1-Accent1">
    <w:name w:val="Legacy0_Medium Shading 1 Accent 1"/>
    <w:basedOn w:val="Legacy0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egacy0_MediumShading1-Accent2">
    <w:name w:val="Legacy0_Medium Shading 1 Accent 2"/>
    <w:basedOn w:val="Legacy0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egacy0_MediumShading1-Accent3">
    <w:name w:val="Legacy0_Medium Shading 1 Accent 3"/>
    <w:basedOn w:val="Legacy0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egacy0_MediumShading1-Accent4">
    <w:name w:val="Legacy0_Medium Shading 1 Accent 4"/>
    <w:basedOn w:val="Legacy0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egacy0_MediumShading1-Accent5">
    <w:name w:val="Legacy0_Medium Shading 1 Accent 5"/>
    <w:basedOn w:val="Legacy0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egacy0_MediumShading1-Accent6">
    <w:name w:val="Legacy0_Medium Shading 1 Accent 6"/>
    <w:basedOn w:val="Legacy0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egacy0_MediumShading2">
    <w:name w:val="Legacy0_Medium Shading 2"/>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Shading2-Accent1">
    <w:name w:val="Legacy0_Medium Shading 2 Accent 1"/>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Shading2-Accent2">
    <w:name w:val="Legacy0_Medium Shading 2 Accent 2"/>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Shading2-Accent3">
    <w:name w:val="Legacy0_Medium Shading 2 Accent 3"/>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Shading2-Accent4">
    <w:name w:val="Legacy0_Medium Shading 2 Accent 4"/>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Shading2-Accent5">
    <w:name w:val="Legacy0_Medium Shading 2 Accent 5"/>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Shading2-Accent6">
    <w:name w:val="Legacy0_Medium Shading 2 Accent 6"/>
    <w:basedOn w:val="Legacy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0_MediumList1">
    <w:name w:val="Legacy0_Medium List 1"/>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egacy0_MediumList1-Accent1">
    <w:name w:val="Legacy0_Medium List 1 Accent 1"/>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egacy0_MediumList1-Accent2">
    <w:name w:val="Legacy0_Medium List 1 Accent 2"/>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egacy0_MediumList1-Accent3">
    <w:name w:val="Legacy0_Medium List 1 Accent 3"/>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egacy0_MediumList1-Accent4">
    <w:name w:val="Legacy0_Medium List 1 Accent 4"/>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egacy0_MediumList1-Accent5">
    <w:name w:val="Legacy0_Medium List 1 Accent 5"/>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egacy0_MediumList1-Accent6">
    <w:name w:val="Legacy0_Medium List 1 Accent 6"/>
    <w:basedOn w:val="Legacy0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egacy0_MediumList2">
    <w:name w:val="Legacy0_Medium List 2"/>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List2-Accent1">
    <w:name w:val="Legacy0_Medium List 2 Accent 1"/>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List2-Accent2">
    <w:name w:val="Legacy0_Medium List 2 Accent 2"/>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List2-Accent3">
    <w:name w:val="Legacy0_Medium List 2 Accent 3"/>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List2-Accent4">
    <w:name w:val="Legacy0_Medium List 2 Accent 4"/>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List2-Accent5">
    <w:name w:val="Legacy0_Medium List 2 Accent 5"/>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List2-Accent6">
    <w:name w:val="Legacy0_Medium List 2 Accent 6"/>
    <w:basedOn w:val="Legacy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0_MediumGrid1">
    <w:name w:val="Legacy0_Medium Grid 1"/>
    <w:basedOn w:val="Legacy0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0_MediumGrid1-Accent1">
    <w:name w:val="Legacy0_Medium Grid 1 Accent 1"/>
    <w:basedOn w:val="Legacy0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0_MediumGrid1-Accent2">
    <w:name w:val="Legacy0_Medium Grid 1 Accent 2"/>
    <w:basedOn w:val="Legacy0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0_MediumGrid1-Accent3">
    <w:name w:val="Legacy0_Medium Grid 1 Accent 3"/>
    <w:basedOn w:val="Legacy0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0_MediumGrid1-Accent4">
    <w:name w:val="Legacy0_Medium Grid 1 Accent 4"/>
    <w:basedOn w:val="Legacy0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0_MediumGrid1-Accent5">
    <w:name w:val="Legacy0_Medium Grid 1 Accent 5"/>
    <w:basedOn w:val="Legacy0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0_MediumGrid1-Accent6">
    <w:name w:val="Legacy0_Medium Grid 1 Accent 6"/>
    <w:basedOn w:val="Legacy0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egacy0_MediumGrid2">
    <w:name w:val="Legacy0_Medium Grid 2"/>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egacy0_MediumGrid2-Accent1">
    <w:name w:val="Legacy0_Medium Grid 2 Accent 1"/>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egacy0_MediumGrid2-Accent2">
    <w:name w:val="Legacy0_Medium Grid 2 Accent 2"/>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egacy0_MediumGrid2-Accent3">
    <w:name w:val="Legacy0_Medium Grid 2 Accent 3"/>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egacy0_MediumGrid2-Accent4">
    <w:name w:val="Legacy0_Medium Grid 2 Accent 4"/>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egacy0_MediumGrid2-Accent5">
    <w:name w:val="Legacy0_Medium Grid 2 Accent 5"/>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egacy0_MediumGrid2-Accent6">
    <w:name w:val="Legacy0_Medium Grid 2 Accent 6"/>
    <w:basedOn w:val="Legacy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egacy0_MediumGrid3">
    <w:name w:val="Legacy0_Medium Grid 3"/>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egacy0_MediumGrid3-Accent1">
    <w:name w:val="Legacy0_Medium Grid 3 Accent 1"/>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egacy0_MediumGrid3-Accent2">
    <w:name w:val="Legacy0_Medium Grid 3 Accent 2"/>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egacy0_MediumGrid3-Accent3">
    <w:name w:val="Legacy0_Medium Grid 3 Accent 3"/>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egacy0_MediumGrid3-Accent4">
    <w:name w:val="Legacy0_Medium Grid 3 Accent 4"/>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egacy0_MediumGrid3-Accent5">
    <w:name w:val="Legacy0_Medium Grid 3 Accent 5"/>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egacy0_MediumGrid3-Accent6">
    <w:name w:val="Legacy0_Medium Grid 3 Accent 6"/>
    <w:basedOn w:val="Legacy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egacy0_DarkList">
    <w:name w:val="Legacy0_Dark List"/>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egacy0_DarkList-Accent1">
    <w:name w:val="Legacy0_Dark List Accent 1"/>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egacy0_DarkList-Accent2">
    <w:name w:val="Legacy0_Dark List Accent 2"/>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egacy0_DarkList-Accent3">
    <w:name w:val="Legacy0_Dark List Accent 3"/>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egacy0_DarkList-Accent4">
    <w:name w:val="Legacy0_Dark List Accent 4"/>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egacy0_DarkList-Accent5">
    <w:name w:val="Legacy0_Dark List Accent 5"/>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egacy0_DarkList-Accent6">
    <w:name w:val="Legacy0_Dark List Accent 6"/>
    <w:basedOn w:val="Legacy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egacy0_ColorfulShading">
    <w:name w:val="Legacy0_Colorful Shading"/>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egacy0_ColorfulShading-Accent1">
    <w:name w:val="Legacy0_Colorful Shading Accent 1"/>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egacy0_ColorfulShading-Accent2">
    <w:name w:val="Legacy0_Colorful Shading Accent 2"/>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egacy0_ColorfulShading-Accent3">
    <w:name w:val="Legacy0_Colorful Shading Accent 3"/>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egacy0_ColorfulShading-Accent4">
    <w:name w:val="Legacy0_Colorful Shading Accent 4"/>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Legacy0_ColorfulShading-Accent5">
    <w:name w:val="Legacy0_Colorful Shading Accent 5"/>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egacy0_ColorfulShading-Accent6">
    <w:name w:val="Legacy0_Colorful Shading Accent 6"/>
    <w:basedOn w:val="Legacy0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egacy0_ColorfulList">
    <w:name w:val="Legacy0_Colorful List"/>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egacy0_ColorfulList-Accent1">
    <w:name w:val="Legacy0_Colorful List Accent 1"/>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egacy0_ColorfulList-Accent2">
    <w:name w:val="Legacy0_Colorful List Accent 2"/>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egacy0_ColorfulList-Accent3">
    <w:name w:val="Legacy0_Colorful List Accent 3"/>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egacy0_ColorfulList-Accent4">
    <w:name w:val="Legacy0_Colorful List Accent 4"/>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egacy0_ColorfulList-Accent5">
    <w:name w:val="Legacy0_Colorful List Accent 5"/>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egacy0_ColorfulList-Accent6">
    <w:name w:val="Legacy0_Colorful List Accent 6"/>
    <w:basedOn w:val="Legacy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egacy0_ColorfulGrid">
    <w:name w:val="Legacy0_Colorful Grid"/>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0_ColorfulGrid-Accent1">
    <w:name w:val="Legacy0_Colorful Grid Accent 1"/>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0_ColorfulGrid-Accent2">
    <w:name w:val="Legacy0_Colorful Grid Accent 2"/>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0_ColorfulGrid-Accent3">
    <w:name w:val="Legacy0_Colorful Grid Accent 3"/>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0_ColorfulGrid-Accent4">
    <w:name w:val="Legacy0_Colorful Grid Accent 4"/>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0_ColorfulGrid-Accent5">
    <w:name w:val="Legacy0_Colorful Grid Accent 5"/>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0_ColorfulGrid-Accent6">
    <w:name w:val="Legacy0_Colorful Grid Accent 6"/>
    <w:basedOn w:val="Legacy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LegacyHead0_Normal">
    <w:name w:val="LegacyHead0_Normal"/>
    <w:qFormat/>
    <w:rsid w:val="00FC693F"/>
    <w:pPr>
      <w:spacing w:after="120"/>
    </w:pPr>
    <w:rPr>
      <w:rFonts w:ascii="Calibri" w:hAnsi="Calibri"/>
      <w:sz w:val="20"/>
    </w:rPr>
  </w:style>
  <w:style w:type="paragraph" w:styleId="LegacyHead0_Header">
    <w:name w:val="LegacyHead0_header"/>
    <w:basedOn w:val="LegacyHead0_Normal"/>
    <w:link w:val="LegacyHead0_HeaderChar"/>
    <w:uiPriority w:val="99"/>
    <w:unhideWhenUsed/>
    <w:rsid w:val="00E618BF"/>
    <w:pPr>
      <w:tabs>
        <w:tab w:val="center" w:pos="4680"/>
        <w:tab w:val="right" w:pos="9360"/>
      </w:tabs>
      <w:spacing w:after="0" w:line="240" w:lineRule="auto"/>
    </w:pPr>
  </w:style>
  <w:style w:type="character" w:customStyle="1" w:styleId="LegacyHead0_HeaderChar">
    <w:name w:val="LegacyHead0_Header Char"/>
    <w:basedOn w:val="LegacyHead0_DefaultParagraphFont"/>
    <w:link w:val="LegacyHead0_Header"/>
    <w:uiPriority w:val="99"/>
    <w:rsid w:val="00E618BF"/>
  </w:style>
  <w:style w:type="paragraph" w:styleId="LegacyHead0_Footer">
    <w:name w:val="LegacyHead0_footer"/>
    <w:basedOn w:val="LegacyHead0_Normal"/>
    <w:link w:val="LegacyHead0_FooterChar"/>
    <w:uiPriority w:val="99"/>
    <w:unhideWhenUsed/>
    <w:rsid w:val="00E618BF"/>
    <w:pPr>
      <w:tabs>
        <w:tab w:val="center" w:pos="4680"/>
        <w:tab w:val="right" w:pos="9360"/>
      </w:tabs>
      <w:spacing w:after="0" w:line="240" w:lineRule="auto"/>
    </w:pPr>
  </w:style>
  <w:style w:type="character" w:customStyle="1" w:styleId="LegacyHead0_FooterChar">
    <w:name w:val="LegacyHead0_Footer Char"/>
    <w:basedOn w:val="LegacyHead0_DefaultParagraphFont"/>
    <w:link w:val="LegacyHead0_Footer"/>
    <w:uiPriority w:val="99"/>
    <w:rsid w:val="00E618BF"/>
  </w:style>
  <w:style w:type="paragraph" w:styleId="LegacyHead0_Heading1">
    <w:name w:val="LegacyHead0_heading 1"/>
    <w:basedOn w:val="LegacyHead0_Normal"/>
    <w:next w:val="LegacyHead0_Normal"/>
    <w:link w:val="LegacyHead0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LegacyHead0_Heading2">
    <w:name w:val="LegacyHead0_heading 2"/>
    <w:basedOn w:val="LegacyHead0_Normal"/>
    <w:next w:val="LegacyHead0_Normal"/>
    <w:link w:val="LegacyHead0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LegacyHead0_Heading3">
    <w:name w:val="LegacyHead0_heading 3"/>
    <w:basedOn w:val="LegacyHead0_Normal"/>
    <w:next w:val="LegacyHead0_Normal"/>
    <w:link w:val="LegacyHead0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LegacyHead0_Heading4">
    <w:name w:val="LegacyHead0_heading 4"/>
    <w:basedOn w:val="LegacyHead0_Normal"/>
    <w:next w:val="LegacyHead0_Normal"/>
    <w:link w:val="LegacyHead0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LegacyHead0_Heading5">
    <w:name w:val="LegacyHead0_heading 5"/>
    <w:basedOn w:val="LegacyHead0_Normal"/>
    <w:next w:val="LegacyHead0_Normal"/>
    <w:link w:val="LegacyHead0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LegacyHead0_Heading6">
    <w:name w:val="LegacyHead0_heading 6"/>
    <w:basedOn w:val="LegacyHead0_Normal"/>
    <w:next w:val="LegacyHead0_Normal"/>
    <w:link w:val="LegacyHead0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LegacyHead0_Heading7">
    <w:name w:val="LegacyHead0_heading 7"/>
    <w:basedOn w:val="LegacyHead0_Normal"/>
    <w:next w:val="LegacyHead0_Normal"/>
    <w:link w:val="LegacyHead0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LegacyHead0_Heading8">
    <w:name w:val="LegacyHead0_heading 8"/>
    <w:basedOn w:val="LegacyHead0_Normal"/>
    <w:next w:val="LegacyHead0_Normal"/>
    <w:link w:val="LegacyHead0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LegacyHead0_Heading9">
    <w:name w:val="LegacyHead0_heading 9"/>
    <w:basedOn w:val="LegacyHead0_Normal"/>
    <w:next w:val="LegacyHead0_Normal"/>
    <w:link w:val="LegacyHead0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egacyHead0_DefaultParagraphFont">
    <w:name w:val="LegacyHead0_Default Paragraph Font"/>
    <w:uiPriority w:val="1"/>
    <w:semiHidden/>
    <w:unhideWhenUsed/>
  </w:style>
  <w:style w:type="table" w:default="1" w:styleId="LegacyHead0_TableNormal">
    <w:name w:val="LegacyHead0_Normal Table"/>
    <w:uiPriority w:val="99"/>
    <w:semiHidden/>
    <w:unhideWhenUsed/>
    <w:tblPr>
      <w:tblInd w:w="0" w:type="dxa"/>
      <w:tblCellMar>
        <w:top w:w="0" w:type="dxa"/>
        <w:left w:w="108" w:type="dxa"/>
        <w:bottom w:w="0" w:type="dxa"/>
        <w:right w:w="108" w:type="dxa"/>
      </w:tblCellMar>
    </w:tblPr>
  </w:style>
  <w:style w:type="numbering" w:default="1" w:styleId="LegacyHead0_NoList">
    <w:name w:val="LegacyHead0_No List"/>
    <w:uiPriority w:val="99"/>
    <w:semiHidden/>
    <w:unhideWhenUsed/>
  </w:style>
  <w:style w:type="paragraph" w:styleId="LegacyHead0_NoSpacing">
    <w:name w:val="LegacyHead0_No Spacing"/>
    <w:uiPriority w:val="1"/>
    <w:qFormat/>
    <w:rsid w:val="00FC693F"/>
    <w:pPr>
      <w:spacing w:after="0" w:line="240" w:lineRule="auto"/>
    </w:pPr>
  </w:style>
  <w:style w:type="character" w:customStyle="1" w:styleId="LegacyHead0_Heading1Char">
    <w:name w:val="LegacyHead0_Heading 1 Char"/>
    <w:basedOn w:val="LegacyHead0_DefaultParagraphFont"/>
    <w:link w:val="LegacyHead0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LegacyHead0_Heading2Char">
    <w:name w:val="LegacyHead0_Heading 2 Char"/>
    <w:basedOn w:val="LegacyHead0_DefaultParagraphFont"/>
    <w:link w:val="LegacyHead0_Heading2"/>
    <w:uiPriority w:val="9"/>
    <w:rsid w:val="00FC693F"/>
    <w:rPr>
      <w:rFonts w:asciiTheme="majorHAnsi" w:eastAsiaTheme="majorEastAsia" w:hAnsiTheme="majorHAnsi" w:cstheme="majorBidi"/>
      <w:b/>
      <w:bCs/>
      <w:color w:val="4F81BD" w:themeColor="accent1"/>
      <w:sz w:val="26"/>
      <w:szCs w:val="26"/>
    </w:rPr>
  </w:style>
  <w:style w:type="character" w:customStyle="1" w:styleId="LegacyHead0_Heading3Char">
    <w:name w:val="LegacyHead0_Heading 3 Char"/>
    <w:basedOn w:val="LegacyHead0_DefaultParagraphFont"/>
    <w:link w:val="LegacyHead0_Heading3"/>
    <w:uiPriority w:val="9"/>
    <w:rsid w:val="00FC693F"/>
    <w:rPr>
      <w:rFonts w:asciiTheme="majorHAnsi" w:eastAsiaTheme="majorEastAsia" w:hAnsiTheme="majorHAnsi" w:cstheme="majorBidi"/>
      <w:b/>
      <w:bCs/>
      <w:color w:val="4F81BD" w:themeColor="accent1"/>
    </w:rPr>
  </w:style>
  <w:style w:type="paragraph" w:styleId="LegacyHead0_Title">
    <w:name w:val="LegacyHead0_Title"/>
    <w:basedOn w:val="LegacyHead0_Normal"/>
    <w:next w:val="LegacyHead0_Normal"/>
    <w:link w:val="LegacyHead0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LegacyHead0_TitleChar">
    <w:name w:val="LegacyHead0_Title Char"/>
    <w:basedOn w:val="LegacyHead0_DefaultParagraphFont"/>
    <w:link w:val="LegacyHead0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egacyHead0_Subtitle">
    <w:name w:val="LegacyHead0_Subtitle"/>
    <w:basedOn w:val="LegacyHead0_Normal"/>
    <w:next w:val="LegacyHead0_Normal"/>
    <w:link w:val="LegacyHead0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LegacyHead0_SubtitleChar">
    <w:name w:val="LegacyHead0_Subtitle Char"/>
    <w:basedOn w:val="LegacyHead0_DefaultParagraphFont"/>
    <w:link w:val="LegacyHead0_Subtitle"/>
    <w:uiPriority w:val="11"/>
    <w:rsid w:val="00FC693F"/>
    <w:rPr>
      <w:rFonts w:asciiTheme="majorHAnsi" w:eastAsiaTheme="majorEastAsia" w:hAnsiTheme="majorHAnsi" w:cstheme="majorBidi"/>
      <w:i/>
      <w:iCs/>
      <w:color w:val="4F81BD" w:themeColor="accent1"/>
      <w:spacing w:val="15"/>
      <w:sz w:val="24"/>
      <w:szCs w:val="24"/>
    </w:rPr>
  </w:style>
  <w:style w:type="paragraph" w:styleId="LegacyHead0_ListParagraph">
    <w:name w:val="LegacyHead0_List Paragraph"/>
    <w:basedOn w:val="LegacyHead0_Normal"/>
    <w:uiPriority w:val="34"/>
    <w:qFormat/>
    <w:rsid w:val="00FC693F"/>
    <w:pPr>
      <w:ind w:left="720"/>
      <w:contextualSpacing/>
    </w:pPr>
  </w:style>
  <w:style w:type="paragraph" w:styleId="LegacyHead0_BodyText">
    <w:name w:val="LegacyHead0_Body Text"/>
    <w:basedOn w:val="LegacyHead0_Normal"/>
    <w:link w:val="LegacyHead0_BodyTextChar"/>
    <w:uiPriority w:val="99"/>
    <w:unhideWhenUsed/>
    <w:rsid w:val="00AA1D8D"/>
    <w:pPr>
      <w:spacing w:after="120"/>
    </w:pPr>
  </w:style>
  <w:style w:type="character" w:customStyle="1" w:styleId="LegacyHead0_BodyTextChar">
    <w:name w:val="LegacyHead0_Body Text Char"/>
    <w:basedOn w:val="LegacyHead0_DefaultParagraphFont"/>
    <w:link w:val="LegacyHead0_BodyText"/>
    <w:uiPriority w:val="99"/>
    <w:rsid w:val="00AA1D8D"/>
  </w:style>
  <w:style w:type="paragraph" w:styleId="LegacyHead0_BodyText2">
    <w:name w:val="LegacyHead0_Body Text 2"/>
    <w:basedOn w:val="LegacyHead0_Normal"/>
    <w:link w:val="LegacyHead0_BodyText2Char"/>
    <w:uiPriority w:val="99"/>
    <w:unhideWhenUsed/>
    <w:rsid w:val="00AA1D8D"/>
    <w:pPr>
      <w:spacing w:after="120" w:line="480" w:lineRule="auto"/>
    </w:pPr>
  </w:style>
  <w:style w:type="character" w:customStyle="1" w:styleId="LegacyHead0_BodyText2Char">
    <w:name w:val="LegacyHead0_Body Text 2 Char"/>
    <w:basedOn w:val="LegacyHead0_DefaultParagraphFont"/>
    <w:link w:val="LegacyHead0_BodyText2"/>
    <w:uiPriority w:val="99"/>
    <w:rsid w:val="00AA1D8D"/>
  </w:style>
  <w:style w:type="paragraph" w:styleId="LegacyHead0_BodyText3">
    <w:name w:val="LegacyHead0_Body Text 3"/>
    <w:basedOn w:val="LegacyHead0_Normal"/>
    <w:link w:val="LegacyHead0_BodyText3Char"/>
    <w:uiPriority w:val="99"/>
    <w:unhideWhenUsed/>
    <w:rsid w:val="00AA1D8D"/>
    <w:pPr>
      <w:spacing w:after="120"/>
    </w:pPr>
    <w:rPr>
      <w:sz w:val="16"/>
      <w:szCs w:val="16"/>
    </w:rPr>
  </w:style>
  <w:style w:type="character" w:customStyle="1" w:styleId="LegacyHead0_BodyText3Char">
    <w:name w:val="LegacyHead0_Body Text 3 Char"/>
    <w:basedOn w:val="LegacyHead0_DefaultParagraphFont"/>
    <w:link w:val="LegacyHead0_BodyText3"/>
    <w:uiPriority w:val="99"/>
    <w:rsid w:val="00AA1D8D"/>
    <w:rPr>
      <w:sz w:val="16"/>
      <w:szCs w:val="16"/>
    </w:rPr>
  </w:style>
  <w:style w:type="paragraph" w:styleId="LegacyHead0_List">
    <w:name w:val="LegacyHead0_List"/>
    <w:basedOn w:val="LegacyHead0_Normal"/>
    <w:uiPriority w:val="99"/>
    <w:unhideWhenUsed/>
    <w:rsid w:val="00AA1D8D"/>
    <w:pPr>
      <w:ind w:left="360" w:hanging="360"/>
      <w:contextualSpacing/>
    </w:pPr>
  </w:style>
  <w:style w:type="paragraph" w:styleId="LegacyHead0_List2">
    <w:name w:val="LegacyHead0_List 2"/>
    <w:basedOn w:val="LegacyHead0_Normal"/>
    <w:uiPriority w:val="99"/>
    <w:unhideWhenUsed/>
    <w:rsid w:val="00326F90"/>
    <w:pPr>
      <w:ind w:left="720" w:hanging="360"/>
      <w:contextualSpacing/>
    </w:pPr>
  </w:style>
  <w:style w:type="paragraph" w:styleId="LegacyHead0_List3">
    <w:name w:val="LegacyHead0_List 3"/>
    <w:basedOn w:val="LegacyHead0_Normal"/>
    <w:uiPriority w:val="99"/>
    <w:unhideWhenUsed/>
    <w:rsid w:val="00326F90"/>
    <w:pPr>
      <w:ind w:left="1080" w:hanging="360"/>
      <w:contextualSpacing/>
    </w:pPr>
  </w:style>
  <w:style w:type="paragraph" w:styleId="LegacyHead0_ListBullet">
    <w:name w:val="LegacyHead0_List Bullet"/>
    <w:basedOn w:val="LegacyHead0_Normal"/>
    <w:uiPriority w:val="99"/>
    <w:unhideWhenUsed/>
    <w:rsid w:val="00326F90"/>
    <w:pPr>
      <w:numPr>
        <w:numId w:val="1"/>
      </w:numPr>
      <w:contextualSpacing/>
    </w:pPr>
  </w:style>
  <w:style w:type="paragraph" w:styleId="LegacyHead0_ListBullet2">
    <w:name w:val="LegacyHead0_List Bullet 2"/>
    <w:basedOn w:val="LegacyHead0_Normal"/>
    <w:uiPriority w:val="99"/>
    <w:unhideWhenUsed/>
    <w:rsid w:val="00326F90"/>
    <w:pPr>
      <w:numPr>
        <w:numId w:val="2"/>
      </w:numPr>
      <w:contextualSpacing/>
    </w:pPr>
  </w:style>
  <w:style w:type="paragraph" w:styleId="LegacyHead0_ListBullet3">
    <w:name w:val="LegacyHead0_List Bullet 3"/>
    <w:basedOn w:val="LegacyHead0_Normal"/>
    <w:uiPriority w:val="99"/>
    <w:unhideWhenUsed/>
    <w:rsid w:val="00326F90"/>
    <w:pPr>
      <w:numPr>
        <w:numId w:val="3"/>
      </w:numPr>
      <w:contextualSpacing/>
    </w:pPr>
  </w:style>
  <w:style w:type="paragraph" w:styleId="LegacyHead0_ListNumber">
    <w:name w:val="LegacyHead0_List Number"/>
    <w:basedOn w:val="LegacyHead0_Normal"/>
    <w:uiPriority w:val="99"/>
    <w:unhideWhenUsed/>
    <w:rsid w:val="00326F90"/>
    <w:pPr>
      <w:numPr>
        <w:numId w:val="5"/>
      </w:numPr>
      <w:contextualSpacing/>
    </w:pPr>
  </w:style>
  <w:style w:type="paragraph" w:styleId="LegacyHead0_ListNumber2">
    <w:name w:val="LegacyHead0_List Number 2"/>
    <w:basedOn w:val="LegacyHead0_Normal"/>
    <w:uiPriority w:val="99"/>
    <w:unhideWhenUsed/>
    <w:rsid w:val="0029639D"/>
    <w:pPr>
      <w:numPr>
        <w:numId w:val="6"/>
      </w:numPr>
      <w:contextualSpacing/>
    </w:pPr>
  </w:style>
  <w:style w:type="paragraph" w:styleId="LegacyHead0_ListNumber3">
    <w:name w:val="LegacyHead0_List Number 3"/>
    <w:basedOn w:val="LegacyHead0_Normal"/>
    <w:uiPriority w:val="99"/>
    <w:unhideWhenUsed/>
    <w:rsid w:val="0029639D"/>
    <w:pPr>
      <w:numPr>
        <w:numId w:val="7"/>
      </w:numPr>
      <w:contextualSpacing/>
    </w:pPr>
  </w:style>
  <w:style w:type="paragraph" w:styleId="LegacyHead0_ListContinue">
    <w:name w:val="LegacyHead0_List Continue"/>
    <w:basedOn w:val="LegacyHead0_Normal"/>
    <w:uiPriority w:val="99"/>
    <w:unhideWhenUsed/>
    <w:rsid w:val="0029639D"/>
    <w:pPr>
      <w:spacing w:after="120"/>
      <w:ind w:left="360"/>
      <w:contextualSpacing/>
    </w:pPr>
  </w:style>
  <w:style w:type="paragraph" w:styleId="LegacyHead0_ListContinue2">
    <w:name w:val="LegacyHead0_List Continue 2"/>
    <w:basedOn w:val="LegacyHead0_Normal"/>
    <w:uiPriority w:val="99"/>
    <w:unhideWhenUsed/>
    <w:rsid w:val="0029639D"/>
    <w:pPr>
      <w:spacing w:after="120"/>
      <w:ind w:left="720"/>
      <w:contextualSpacing/>
    </w:pPr>
  </w:style>
  <w:style w:type="paragraph" w:styleId="LegacyHead0_ListContinue3">
    <w:name w:val="LegacyHead0_List Continue 3"/>
    <w:basedOn w:val="LegacyHead0_Normal"/>
    <w:uiPriority w:val="99"/>
    <w:unhideWhenUsed/>
    <w:rsid w:val="0029639D"/>
    <w:pPr>
      <w:spacing w:after="120"/>
      <w:ind w:left="1080"/>
      <w:contextualSpacing/>
    </w:pPr>
  </w:style>
  <w:style w:type="paragraph" w:styleId="LegacyHead0_MacroText">
    <w:name w:val="LegacyHead0_macro"/>
    <w:link w:val="LegacyHead0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LegacyHead0_MacroTextChar">
    <w:name w:val="LegacyHead0_Macro Text Char"/>
    <w:basedOn w:val="LegacyHead0_DefaultParagraphFont"/>
    <w:link w:val="LegacyHead0_MacroText"/>
    <w:uiPriority w:val="99"/>
    <w:rsid w:val="0029639D"/>
    <w:rPr>
      <w:rFonts w:ascii="Courier" w:hAnsi="Courier"/>
      <w:sz w:val="20"/>
      <w:szCs w:val="20"/>
    </w:rPr>
  </w:style>
  <w:style w:type="paragraph" w:styleId="LegacyHead0_Quote">
    <w:name w:val="LegacyHead0_Quote"/>
    <w:basedOn w:val="LegacyHead0_Normal"/>
    <w:next w:val="LegacyHead0_Normal"/>
    <w:link w:val="LegacyHead0_QuoteChar"/>
    <w:uiPriority w:val="29"/>
    <w:qFormat/>
    <w:rsid w:val="00FC693F"/>
    <w:rPr>
      <w:i/>
      <w:iCs/>
      <w:color w:val="000000" w:themeColor="text1"/>
    </w:rPr>
  </w:style>
  <w:style w:type="character" w:customStyle="1" w:styleId="LegacyHead0_QuoteChar">
    <w:name w:val="LegacyHead0_Quote Char"/>
    <w:basedOn w:val="LegacyHead0_DefaultParagraphFont"/>
    <w:link w:val="LegacyHead0_Quote"/>
    <w:uiPriority w:val="29"/>
    <w:rsid w:val="00FC693F"/>
    <w:rPr>
      <w:i/>
      <w:iCs/>
      <w:color w:val="000000" w:themeColor="text1"/>
    </w:rPr>
  </w:style>
  <w:style w:type="character" w:customStyle="1" w:styleId="LegacyHead0_Heading4Char">
    <w:name w:val="LegacyHead0_Heading 4 Char"/>
    <w:basedOn w:val="LegacyHead0_DefaultParagraphFont"/>
    <w:link w:val="LegacyHead0_Heading4"/>
    <w:uiPriority w:val="9"/>
    <w:semiHidden/>
    <w:rsid w:val="00FC693F"/>
    <w:rPr>
      <w:rFonts w:asciiTheme="majorHAnsi" w:eastAsiaTheme="majorEastAsia" w:hAnsiTheme="majorHAnsi" w:cstheme="majorBidi"/>
      <w:b/>
      <w:bCs/>
      <w:i/>
      <w:iCs/>
      <w:color w:val="4F81BD" w:themeColor="accent1"/>
    </w:rPr>
  </w:style>
  <w:style w:type="character" w:customStyle="1" w:styleId="LegacyHead0_Heading5Char">
    <w:name w:val="LegacyHead0_Heading 5 Char"/>
    <w:basedOn w:val="LegacyHead0_DefaultParagraphFont"/>
    <w:link w:val="LegacyHead0_Heading5"/>
    <w:uiPriority w:val="9"/>
    <w:semiHidden/>
    <w:rsid w:val="00FC693F"/>
    <w:rPr>
      <w:rFonts w:asciiTheme="majorHAnsi" w:eastAsiaTheme="majorEastAsia" w:hAnsiTheme="majorHAnsi" w:cstheme="majorBidi"/>
      <w:color w:val="243F60" w:themeColor="accent1" w:themeShade="7F"/>
    </w:rPr>
  </w:style>
  <w:style w:type="character" w:customStyle="1" w:styleId="LegacyHead0_Heading6Char">
    <w:name w:val="LegacyHead0_Heading 6 Char"/>
    <w:basedOn w:val="LegacyHead0_DefaultParagraphFont"/>
    <w:link w:val="LegacyHead0_Heading6"/>
    <w:uiPriority w:val="9"/>
    <w:semiHidden/>
    <w:rsid w:val="00FC693F"/>
    <w:rPr>
      <w:rFonts w:asciiTheme="majorHAnsi" w:eastAsiaTheme="majorEastAsia" w:hAnsiTheme="majorHAnsi" w:cstheme="majorBidi"/>
      <w:i/>
      <w:iCs/>
      <w:color w:val="243F60" w:themeColor="accent1" w:themeShade="7F"/>
    </w:rPr>
  </w:style>
  <w:style w:type="character" w:customStyle="1" w:styleId="LegacyHead0_Heading7Char">
    <w:name w:val="LegacyHead0_Heading 7 Char"/>
    <w:basedOn w:val="LegacyHead0_DefaultParagraphFont"/>
    <w:link w:val="LegacyHead0_Heading7"/>
    <w:uiPriority w:val="9"/>
    <w:semiHidden/>
    <w:rsid w:val="00FC693F"/>
    <w:rPr>
      <w:rFonts w:asciiTheme="majorHAnsi" w:eastAsiaTheme="majorEastAsia" w:hAnsiTheme="majorHAnsi" w:cstheme="majorBidi"/>
      <w:i/>
      <w:iCs/>
      <w:color w:val="404040" w:themeColor="text1" w:themeTint="BF"/>
    </w:rPr>
  </w:style>
  <w:style w:type="character" w:customStyle="1" w:styleId="LegacyHead0_Heading8Char">
    <w:name w:val="LegacyHead0_Heading 8 Char"/>
    <w:basedOn w:val="LegacyHead0_DefaultParagraphFont"/>
    <w:link w:val="LegacyHead0_Heading8"/>
    <w:uiPriority w:val="9"/>
    <w:semiHidden/>
    <w:rsid w:val="00FC693F"/>
    <w:rPr>
      <w:rFonts w:asciiTheme="majorHAnsi" w:eastAsiaTheme="majorEastAsia" w:hAnsiTheme="majorHAnsi" w:cstheme="majorBidi"/>
      <w:color w:val="4F81BD" w:themeColor="accent1"/>
      <w:sz w:val="20"/>
      <w:szCs w:val="20"/>
    </w:rPr>
  </w:style>
  <w:style w:type="character" w:customStyle="1" w:styleId="LegacyHead0_Heading9Char">
    <w:name w:val="LegacyHead0_Heading 9 Char"/>
    <w:basedOn w:val="LegacyHead0_DefaultParagraphFont"/>
    <w:link w:val="LegacyHead0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LegacyHead0_Caption">
    <w:name w:val="LegacyHead0_caption"/>
    <w:basedOn w:val="LegacyHead0_Normal"/>
    <w:next w:val="LegacyHead0_Normal"/>
    <w:uiPriority w:val="35"/>
    <w:semiHidden/>
    <w:unhideWhenUsed/>
    <w:qFormat/>
    <w:rsid w:val="00FC693F"/>
    <w:pPr>
      <w:spacing w:line="240" w:lineRule="auto"/>
    </w:pPr>
    <w:rPr>
      <w:b/>
      <w:bCs/>
      <w:color w:val="4F81BD" w:themeColor="accent1"/>
      <w:sz w:val="18"/>
      <w:szCs w:val="18"/>
    </w:rPr>
  </w:style>
  <w:style w:type="character" w:styleId="LegacyHead0_Strong">
    <w:name w:val="LegacyHead0_Strong"/>
    <w:basedOn w:val="LegacyHead0_DefaultParagraphFont"/>
    <w:uiPriority w:val="22"/>
    <w:qFormat/>
    <w:rsid w:val="00FC693F"/>
    <w:rPr>
      <w:b/>
      <w:bCs/>
    </w:rPr>
  </w:style>
  <w:style w:type="character" w:styleId="LegacyHead0_Emphasis">
    <w:name w:val="LegacyHead0_Emphasis"/>
    <w:basedOn w:val="LegacyHead0_DefaultParagraphFont"/>
    <w:uiPriority w:val="20"/>
    <w:qFormat/>
    <w:rsid w:val="00FC693F"/>
    <w:rPr>
      <w:i/>
      <w:iCs/>
    </w:rPr>
  </w:style>
  <w:style w:type="paragraph" w:styleId="LegacyHead0_IntenseQuote">
    <w:name w:val="LegacyHead0_Intense Quote"/>
    <w:basedOn w:val="LegacyHead0_Normal"/>
    <w:next w:val="LegacyHead0_Normal"/>
    <w:link w:val="LegacyHead0_IntenseQuoteChar"/>
    <w:uiPriority w:val="30"/>
    <w:qFormat/>
    <w:rsid w:val="00FC693F"/>
    <w:pPr>
      <w:spacing w:before="200" w:after="280"/>
      <w:ind w:left="936" w:right="936"/>
    </w:pPr>
    <w:rPr>
      <w:b/>
      <w:bCs/>
      <w:i/>
      <w:iCs/>
      <w:color w:val="4F81BD" w:themeColor="accent1"/>
    </w:rPr>
  </w:style>
  <w:style w:type="character" w:customStyle="1" w:styleId="LegacyHead0_IntenseQuoteChar">
    <w:name w:val="LegacyHead0_Intense Quote Char"/>
    <w:basedOn w:val="LegacyHead0_DefaultParagraphFont"/>
    <w:link w:val="LegacyHead0_IntenseQuote"/>
    <w:uiPriority w:val="30"/>
    <w:rsid w:val="00FC693F"/>
    <w:rPr>
      <w:b/>
      <w:bCs/>
      <w:i/>
      <w:iCs/>
      <w:color w:val="4F81BD" w:themeColor="accent1"/>
    </w:rPr>
  </w:style>
  <w:style w:type="character" w:styleId="LegacyHead0_SubtleEmphasis">
    <w:name w:val="LegacyHead0_Subtle Emphasis"/>
    <w:basedOn w:val="LegacyHead0_DefaultParagraphFont"/>
    <w:uiPriority w:val="19"/>
    <w:qFormat/>
    <w:rsid w:val="00FC693F"/>
    <w:rPr>
      <w:i/>
      <w:iCs/>
      <w:color w:val="808080" w:themeColor="text1" w:themeTint="7F"/>
    </w:rPr>
  </w:style>
  <w:style w:type="character" w:styleId="LegacyHead0_IntenseEmphasis">
    <w:name w:val="LegacyHead0_Intense Emphasis"/>
    <w:basedOn w:val="LegacyHead0_DefaultParagraphFont"/>
    <w:uiPriority w:val="21"/>
    <w:qFormat/>
    <w:rsid w:val="00FC693F"/>
    <w:rPr>
      <w:b/>
      <w:bCs/>
      <w:i/>
      <w:iCs/>
      <w:color w:val="4F81BD" w:themeColor="accent1"/>
    </w:rPr>
  </w:style>
  <w:style w:type="character" w:styleId="LegacyHead0_SubtleReference">
    <w:name w:val="LegacyHead0_Subtle Reference"/>
    <w:basedOn w:val="LegacyHead0_DefaultParagraphFont"/>
    <w:uiPriority w:val="31"/>
    <w:qFormat/>
    <w:rsid w:val="00FC693F"/>
    <w:rPr>
      <w:smallCaps/>
      <w:color w:val="C0504D" w:themeColor="accent2"/>
      <w:u w:val="single"/>
    </w:rPr>
  </w:style>
  <w:style w:type="character" w:styleId="LegacyHead0_IntenseReference">
    <w:name w:val="LegacyHead0_Intense Reference"/>
    <w:basedOn w:val="LegacyHead0_DefaultParagraphFont"/>
    <w:uiPriority w:val="32"/>
    <w:qFormat/>
    <w:rsid w:val="00FC693F"/>
    <w:rPr>
      <w:b/>
      <w:bCs/>
      <w:smallCaps/>
      <w:color w:val="C0504D" w:themeColor="accent2"/>
      <w:spacing w:val="5"/>
      <w:u w:val="single"/>
    </w:rPr>
  </w:style>
  <w:style w:type="character" w:styleId="LegacyHead0_BookTitle">
    <w:name w:val="LegacyHead0_Book Title"/>
    <w:basedOn w:val="LegacyHead0_DefaultParagraphFont"/>
    <w:uiPriority w:val="33"/>
    <w:qFormat/>
    <w:rsid w:val="00FC693F"/>
    <w:rPr>
      <w:b/>
      <w:bCs/>
      <w:smallCaps/>
      <w:spacing w:val="5"/>
    </w:rPr>
  </w:style>
  <w:style w:type="paragraph" w:styleId="LegacyHead0_TOCHeading">
    <w:name w:val="LegacyHead0_TOC Heading"/>
    <w:basedOn w:val="LegacyHead0_Heading1"/>
    <w:next w:val="LegacyHead0_Normal"/>
    <w:uiPriority w:val="39"/>
    <w:semiHidden/>
    <w:unhideWhenUsed/>
    <w:qFormat/>
    <w:rsid w:val="00FC693F"/>
    <w:pPr>
      <w:outlineLvl w:val="9"/>
    </w:pPr>
  </w:style>
  <w:style w:type="table" w:styleId="LegacyHead0_TableGrid">
    <w:name w:val="LegacyHead0_Table Grid"/>
    <w:basedOn w:val="LegacyHead0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egacyHead0_LightShading">
    <w:name w:val="LegacyHead0_Light Shading"/>
    <w:basedOn w:val="LegacyHead0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egacyHead0_LightShading-Accent1">
    <w:name w:val="LegacyHead0_Light Shading Accent 1"/>
    <w:basedOn w:val="LegacyHead0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egacyHead0_LightShading-Accent2">
    <w:name w:val="LegacyHead0_Light Shading Accent 2"/>
    <w:basedOn w:val="LegacyHead0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egacyHead0_LightShading-Accent3">
    <w:name w:val="LegacyHead0_Light Shading Accent 3"/>
    <w:basedOn w:val="LegacyHead0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egacyHead0_LightShading-Accent4">
    <w:name w:val="LegacyHead0_Light Shading Accent 4"/>
    <w:basedOn w:val="LegacyHead0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egacyHead0_LightShading-Accent5">
    <w:name w:val="LegacyHead0_Light Shading Accent 5"/>
    <w:basedOn w:val="LegacyHead0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egacyHead0_LightShading-Accent6">
    <w:name w:val="LegacyHead0_Light Shading Accent 6"/>
    <w:basedOn w:val="LegacyHead0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egacyHead0_LightList">
    <w:name w:val="LegacyHead0_Light List"/>
    <w:basedOn w:val="LegacyHead0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egacyHead0_LightList-Accent1">
    <w:name w:val="LegacyHead0_Light List Accent 1"/>
    <w:basedOn w:val="LegacyHead0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egacyHead0_LightList-Accent2">
    <w:name w:val="LegacyHead0_Light List Accent 2"/>
    <w:basedOn w:val="LegacyHead0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egacyHead0_LightList-Accent3">
    <w:name w:val="LegacyHead0_Light List Accent 3"/>
    <w:basedOn w:val="LegacyHead0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egacyHead0_LightList-Accent4">
    <w:name w:val="LegacyHead0_Light List Accent 4"/>
    <w:basedOn w:val="LegacyHead0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egacyHead0_LightList-Accent5">
    <w:name w:val="LegacyHead0_Light List Accent 5"/>
    <w:basedOn w:val="LegacyHead0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egacyHead0_LightList-Accent6">
    <w:name w:val="LegacyHead0_Light List Accent 6"/>
    <w:basedOn w:val="LegacyHead0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egacyHead0_LightGrid">
    <w:name w:val="LegacyHead0_Light Grid"/>
    <w:basedOn w:val="LegacyHead0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egacyHead0_LightGrid-Accent1">
    <w:name w:val="LegacyHead0_Light Grid Accent 1"/>
    <w:basedOn w:val="LegacyHead0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egacyHead0_LightGrid-Accent2">
    <w:name w:val="LegacyHead0_Light Grid Accent 2"/>
    <w:basedOn w:val="LegacyHead0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egacyHead0_LightGrid-Accent3">
    <w:name w:val="LegacyHead0_Light Grid Accent 3"/>
    <w:basedOn w:val="LegacyHead0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egacyHead0_LightGrid-Accent4">
    <w:name w:val="LegacyHead0_Light Grid Accent 4"/>
    <w:basedOn w:val="LegacyHead0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egacyHead0_LightGrid-Accent5">
    <w:name w:val="LegacyHead0_Light Grid Accent 5"/>
    <w:basedOn w:val="LegacyHead0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egacyHead0_LightGrid-Accent6">
    <w:name w:val="LegacyHead0_Light Grid Accent 6"/>
    <w:basedOn w:val="LegacyHead0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egacyHead0_MediumShading1">
    <w:name w:val="LegacyHead0_Medium Shading 1"/>
    <w:basedOn w:val="LegacyHead0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egacyHead0_MediumShading1-Accent1">
    <w:name w:val="LegacyHead0_Medium Shading 1 Accent 1"/>
    <w:basedOn w:val="LegacyHead0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egacyHead0_MediumShading1-Accent2">
    <w:name w:val="LegacyHead0_Medium Shading 1 Accent 2"/>
    <w:basedOn w:val="LegacyHead0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egacyHead0_MediumShading1-Accent3">
    <w:name w:val="LegacyHead0_Medium Shading 1 Accent 3"/>
    <w:basedOn w:val="LegacyHead0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egacyHead0_MediumShading1-Accent4">
    <w:name w:val="LegacyHead0_Medium Shading 1 Accent 4"/>
    <w:basedOn w:val="LegacyHead0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egacyHead0_MediumShading1-Accent5">
    <w:name w:val="LegacyHead0_Medium Shading 1 Accent 5"/>
    <w:basedOn w:val="LegacyHead0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egacyHead0_MediumShading1-Accent6">
    <w:name w:val="LegacyHead0_Medium Shading 1 Accent 6"/>
    <w:basedOn w:val="LegacyHead0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egacyHead0_MediumShading2">
    <w:name w:val="LegacyHead0_Medium Shading 2"/>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Shading2-Accent1">
    <w:name w:val="LegacyHead0_Medium Shading 2 Accent 1"/>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Shading2-Accent2">
    <w:name w:val="LegacyHead0_Medium Shading 2 Accent 2"/>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Shading2-Accent3">
    <w:name w:val="LegacyHead0_Medium Shading 2 Accent 3"/>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Shading2-Accent4">
    <w:name w:val="LegacyHead0_Medium Shading 2 Accent 4"/>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Shading2-Accent5">
    <w:name w:val="LegacyHead0_Medium Shading 2 Accent 5"/>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Shading2-Accent6">
    <w:name w:val="LegacyHead0_Medium Shading 2 Accent 6"/>
    <w:basedOn w:val="LegacyHead0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0_MediumList1">
    <w:name w:val="LegacyHead0_Medium List 1"/>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egacyHead0_MediumList1-Accent1">
    <w:name w:val="LegacyHead0_Medium List 1 Accent 1"/>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egacyHead0_MediumList1-Accent2">
    <w:name w:val="LegacyHead0_Medium List 1 Accent 2"/>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egacyHead0_MediumList1-Accent3">
    <w:name w:val="LegacyHead0_Medium List 1 Accent 3"/>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egacyHead0_MediumList1-Accent4">
    <w:name w:val="LegacyHead0_Medium List 1 Accent 4"/>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egacyHead0_MediumList1-Accent5">
    <w:name w:val="LegacyHead0_Medium List 1 Accent 5"/>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egacyHead0_MediumList1-Accent6">
    <w:name w:val="LegacyHead0_Medium List 1 Accent 6"/>
    <w:basedOn w:val="LegacyHead0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egacyHead0_MediumList2">
    <w:name w:val="LegacyHead0_Medium List 2"/>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List2-Accent1">
    <w:name w:val="LegacyHead0_Medium List 2 Accent 1"/>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List2-Accent2">
    <w:name w:val="LegacyHead0_Medium List 2 Accent 2"/>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List2-Accent3">
    <w:name w:val="LegacyHead0_Medium List 2 Accent 3"/>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List2-Accent4">
    <w:name w:val="LegacyHead0_Medium List 2 Accent 4"/>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List2-Accent5">
    <w:name w:val="LegacyHead0_Medium List 2 Accent 5"/>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List2-Accent6">
    <w:name w:val="LegacyHead0_Medium List 2 Accent 6"/>
    <w:basedOn w:val="LegacyHead0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0_MediumGrid1">
    <w:name w:val="LegacyHead0_Medium Grid 1"/>
    <w:basedOn w:val="LegacyHead0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Head0_MediumGrid1-Accent1">
    <w:name w:val="LegacyHead0_Medium Grid 1 Accent 1"/>
    <w:basedOn w:val="LegacyHead0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Head0_MediumGrid1-Accent2">
    <w:name w:val="LegacyHead0_Medium Grid 1 Accent 2"/>
    <w:basedOn w:val="LegacyHead0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Head0_MediumGrid1-Accent3">
    <w:name w:val="LegacyHead0_Medium Grid 1 Accent 3"/>
    <w:basedOn w:val="LegacyHead0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Head0_MediumGrid1-Accent4">
    <w:name w:val="LegacyHead0_Medium Grid 1 Accent 4"/>
    <w:basedOn w:val="LegacyHead0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Head0_MediumGrid1-Accent5">
    <w:name w:val="LegacyHead0_Medium Grid 1 Accent 5"/>
    <w:basedOn w:val="LegacyHead0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Head0_MediumGrid1-Accent6">
    <w:name w:val="LegacyHead0_Medium Grid 1 Accent 6"/>
    <w:basedOn w:val="LegacyHead0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egacyHead0_MediumGrid2">
    <w:name w:val="LegacyHead0_Medium Grid 2"/>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egacyHead0_MediumGrid2-Accent1">
    <w:name w:val="LegacyHead0_Medium Grid 2 Accent 1"/>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egacyHead0_MediumGrid2-Accent2">
    <w:name w:val="LegacyHead0_Medium Grid 2 Accent 2"/>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egacyHead0_MediumGrid2-Accent3">
    <w:name w:val="LegacyHead0_Medium Grid 2 Accent 3"/>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egacyHead0_MediumGrid2-Accent4">
    <w:name w:val="LegacyHead0_Medium Grid 2 Accent 4"/>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egacyHead0_MediumGrid2-Accent5">
    <w:name w:val="LegacyHead0_Medium Grid 2 Accent 5"/>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egacyHead0_MediumGrid2-Accent6">
    <w:name w:val="LegacyHead0_Medium Grid 2 Accent 6"/>
    <w:basedOn w:val="LegacyHead0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egacyHead0_MediumGrid3">
    <w:name w:val="LegacyHead0_Medium Grid 3"/>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egacyHead0_MediumGrid3-Accent1">
    <w:name w:val="LegacyHead0_Medium Grid 3 Accent 1"/>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egacyHead0_MediumGrid3-Accent2">
    <w:name w:val="LegacyHead0_Medium Grid 3 Accent 2"/>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egacyHead0_MediumGrid3-Accent3">
    <w:name w:val="LegacyHead0_Medium Grid 3 Accent 3"/>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egacyHead0_MediumGrid3-Accent4">
    <w:name w:val="LegacyHead0_Medium Grid 3 Accent 4"/>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egacyHead0_MediumGrid3-Accent5">
    <w:name w:val="LegacyHead0_Medium Grid 3 Accent 5"/>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egacyHead0_MediumGrid3-Accent6">
    <w:name w:val="LegacyHead0_Medium Grid 3 Accent 6"/>
    <w:basedOn w:val="LegacyHead0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egacyHead0_DarkList">
    <w:name w:val="LegacyHead0_Dark List"/>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egacyHead0_DarkList-Accent1">
    <w:name w:val="LegacyHead0_Dark List Accent 1"/>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egacyHead0_DarkList-Accent2">
    <w:name w:val="LegacyHead0_Dark List Accent 2"/>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egacyHead0_DarkList-Accent3">
    <w:name w:val="LegacyHead0_Dark List Accent 3"/>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egacyHead0_DarkList-Accent4">
    <w:name w:val="LegacyHead0_Dark List Accent 4"/>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egacyHead0_DarkList-Accent5">
    <w:name w:val="LegacyHead0_Dark List Accent 5"/>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egacyHead0_DarkList-Accent6">
    <w:name w:val="LegacyHead0_Dark List Accent 6"/>
    <w:basedOn w:val="LegacyHead0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egacyHead0_ColorfulShading">
    <w:name w:val="LegacyHead0_Colorful Shading"/>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egacyHead0_ColorfulShading-Accent1">
    <w:name w:val="LegacyHead0_Colorful Shading Accent 1"/>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egacyHead0_ColorfulShading-Accent2">
    <w:name w:val="LegacyHead0_Colorful Shading Accent 2"/>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egacyHead0_ColorfulShading-Accent3">
    <w:name w:val="LegacyHead0_Colorful Shading Accent 3"/>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egacyHead0_ColorfulShading-Accent4">
    <w:name w:val="LegacyHead0_Colorful Shading Accent 4"/>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LegacyHead0_ColorfulShading-Accent5">
    <w:name w:val="LegacyHead0_Colorful Shading Accent 5"/>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egacyHead0_ColorfulShading-Accent6">
    <w:name w:val="LegacyHead0_Colorful Shading Accent 6"/>
    <w:basedOn w:val="LegacyHead0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egacyHead0_ColorfulList">
    <w:name w:val="LegacyHead0_Colorful List"/>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egacyHead0_ColorfulList-Accent1">
    <w:name w:val="LegacyHead0_Colorful List Accent 1"/>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egacyHead0_ColorfulList-Accent2">
    <w:name w:val="LegacyHead0_Colorful List Accent 2"/>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egacyHead0_ColorfulList-Accent3">
    <w:name w:val="LegacyHead0_Colorful List Accent 3"/>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egacyHead0_ColorfulList-Accent4">
    <w:name w:val="LegacyHead0_Colorful List Accent 4"/>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egacyHead0_ColorfulList-Accent5">
    <w:name w:val="LegacyHead0_Colorful List Accent 5"/>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egacyHead0_ColorfulList-Accent6">
    <w:name w:val="LegacyHead0_Colorful List Accent 6"/>
    <w:basedOn w:val="LegacyHead0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egacyHead0_ColorfulGrid">
    <w:name w:val="LegacyHead0_Colorful Grid"/>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Head0_ColorfulGrid-Accent1">
    <w:name w:val="LegacyHead0_Colorful Grid Accent 1"/>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Head0_ColorfulGrid-Accent2">
    <w:name w:val="LegacyHead0_Colorful Grid Accent 2"/>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Head0_ColorfulGrid-Accent3">
    <w:name w:val="LegacyHead0_Colorful Grid Accent 3"/>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Head0_ColorfulGrid-Accent4">
    <w:name w:val="LegacyHead0_Colorful Grid Accent 4"/>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Head0_ColorfulGrid-Accent5">
    <w:name w:val="LegacyHead0_Colorful Grid Accent 5"/>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Head0_ColorfulGrid-Accent6">
    <w:name w:val="LegacyHead0_Colorful Grid Accent 6"/>
    <w:basedOn w:val="LegacyHead0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Legacy1_Normal">
    <w:name w:val="Legacy1_Normal"/>
    <w:qFormat/>
    <w:rsid w:val="00FC693F"/>
    <w:pPr>
      <w:spacing w:after="80"/>
    </w:pPr>
    <w:rPr>
      <w:rFonts w:ascii="Calibri" w:hAnsi="Calibri"/>
      <w:sz w:val="19"/>
    </w:rPr>
  </w:style>
  <w:style w:type="paragraph" w:styleId="Legacy1_Header">
    <w:name w:val="Legacy1_header"/>
    <w:basedOn w:val="Legacy1_Normal"/>
    <w:link w:val="Legacy1_HeaderChar"/>
    <w:uiPriority w:val="99"/>
    <w:unhideWhenUsed/>
    <w:rsid w:val="00E618BF"/>
    <w:pPr>
      <w:tabs>
        <w:tab w:val="center" w:pos="4680"/>
        <w:tab w:val="right" w:pos="9360"/>
      </w:tabs>
      <w:spacing w:after="0" w:line="240" w:lineRule="auto"/>
    </w:pPr>
  </w:style>
  <w:style w:type="character" w:customStyle="1" w:styleId="Legacy1_HeaderChar">
    <w:name w:val="Legacy1_Header Char"/>
    <w:basedOn w:val="Legacy1_DefaultParagraphFont"/>
    <w:link w:val="Legacy1_Header"/>
    <w:uiPriority w:val="99"/>
    <w:rsid w:val="00E618BF"/>
  </w:style>
  <w:style w:type="paragraph" w:styleId="Legacy1_Footer">
    <w:name w:val="Legacy1_footer"/>
    <w:basedOn w:val="Legacy1_Normal"/>
    <w:link w:val="Legacy1_FooterChar"/>
    <w:uiPriority w:val="99"/>
    <w:unhideWhenUsed/>
    <w:rsid w:val="00E618BF"/>
    <w:pPr>
      <w:tabs>
        <w:tab w:val="center" w:pos="4680"/>
        <w:tab w:val="right" w:pos="9360"/>
      </w:tabs>
      <w:spacing w:after="0" w:line="240" w:lineRule="auto"/>
    </w:pPr>
  </w:style>
  <w:style w:type="character" w:customStyle="1" w:styleId="Legacy1_FooterChar">
    <w:name w:val="Legacy1_Footer Char"/>
    <w:basedOn w:val="Legacy1_DefaultParagraphFont"/>
    <w:link w:val="Legacy1_Footer"/>
    <w:uiPriority w:val="99"/>
    <w:rsid w:val="00E618BF"/>
  </w:style>
  <w:style w:type="paragraph" w:styleId="Legacy1_Heading1">
    <w:name w:val="Legacy1_heading 1"/>
    <w:basedOn w:val="Legacy1_Normal"/>
    <w:next w:val="Legacy1_Normal"/>
    <w:link w:val="Legacy1_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Legacy1_Heading2">
    <w:name w:val="Legacy1_heading 2"/>
    <w:basedOn w:val="Legacy1_Normal"/>
    <w:next w:val="Legacy1_Normal"/>
    <w:link w:val="Legacy1_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Legacy1_Heading3">
    <w:name w:val="Legacy1_heading 3"/>
    <w:basedOn w:val="Legacy1_Normal"/>
    <w:next w:val="Legacy1_Normal"/>
    <w:link w:val="Legacy1_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Legacy1_Heading4">
    <w:name w:val="Legacy1_heading 4"/>
    <w:basedOn w:val="Legacy1_Normal"/>
    <w:next w:val="Legacy1_Normal"/>
    <w:link w:val="Legacy1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Legacy1_Heading5">
    <w:name w:val="Legacy1_heading 5"/>
    <w:basedOn w:val="Legacy1_Normal"/>
    <w:next w:val="Legacy1_Normal"/>
    <w:link w:val="Legacy1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Legacy1_Heading6">
    <w:name w:val="Legacy1_heading 6"/>
    <w:basedOn w:val="Legacy1_Normal"/>
    <w:next w:val="Legacy1_Normal"/>
    <w:link w:val="Legacy1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Legacy1_Heading7">
    <w:name w:val="Legacy1_heading 7"/>
    <w:basedOn w:val="Legacy1_Normal"/>
    <w:next w:val="Legacy1_Normal"/>
    <w:link w:val="Legacy1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Legacy1_Heading8">
    <w:name w:val="Legacy1_heading 8"/>
    <w:basedOn w:val="Legacy1_Normal"/>
    <w:next w:val="Legacy1_Normal"/>
    <w:link w:val="Legacy1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Legacy1_Heading9">
    <w:name w:val="Legacy1_heading 9"/>
    <w:basedOn w:val="Legacy1_Normal"/>
    <w:next w:val="Legacy1_Normal"/>
    <w:link w:val="Legacy1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egacy1_DefaultParagraphFont">
    <w:name w:val="Legacy1_Default Paragraph Font"/>
    <w:uiPriority w:val="1"/>
    <w:semiHidden/>
    <w:unhideWhenUsed/>
  </w:style>
  <w:style w:type="table" w:default="1" w:styleId="Legacy1_TableNormal">
    <w:name w:val="Legacy1_Normal Table"/>
    <w:uiPriority w:val="99"/>
    <w:semiHidden/>
    <w:unhideWhenUsed/>
    <w:tblPr>
      <w:tblInd w:w="0" w:type="dxa"/>
      <w:tblCellMar>
        <w:top w:w="0" w:type="dxa"/>
        <w:left w:w="108" w:type="dxa"/>
        <w:bottom w:w="0" w:type="dxa"/>
        <w:right w:w="108" w:type="dxa"/>
      </w:tblCellMar>
    </w:tblPr>
  </w:style>
  <w:style w:type="numbering" w:default="1" w:styleId="Legacy1_NoList">
    <w:name w:val="Legacy1_No List"/>
    <w:uiPriority w:val="99"/>
    <w:semiHidden/>
    <w:unhideWhenUsed/>
  </w:style>
  <w:style w:type="paragraph" w:styleId="Legacy1_NoSpacing">
    <w:name w:val="Legacy1_No Spacing"/>
    <w:uiPriority w:val="1"/>
    <w:qFormat/>
    <w:rsid w:val="00FC693F"/>
    <w:pPr>
      <w:spacing w:after="0" w:line="240" w:lineRule="auto"/>
    </w:pPr>
  </w:style>
  <w:style w:type="character" w:customStyle="1" w:styleId="Legacy1_Heading1Char">
    <w:name w:val="Legacy1_Heading 1 Char"/>
    <w:basedOn w:val="Legacy1_DefaultParagraphFont"/>
    <w:link w:val="Legacy1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Legacy1_Heading2Char">
    <w:name w:val="Legacy1_Heading 2 Char"/>
    <w:basedOn w:val="Legacy1_DefaultParagraphFont"/>
    <w:link w:val="Legacy1_Heading2"/>
    <w:uiPriority w:val="9"/>
    <w:rsid w:val="00FC693F"/>
    <w:rPr>
      <w:rFonts w:asciiTheme="majorHAnsi" w:eastAsiaTheme="majorEastAsia" w:hAnsiTheme="majorHAnsi" w:cstheme="majorBidi"/>
      <w:b/>
      <w:bCs/>
      <w:color w:val="4F81BD" w:themeColor="accent1"/>
      <w:sz w:val="26"/>
      <w:szCs w:val="26"/>
    </w:rPr>
  </w:style>
  <w:style w:type="character" w:customStyle="1" w:styleId="Legacy1_Heading3Char">
    <w:name w:val="Legacy1_Heading 3 Char"/>
    <w:basedOn w:val="Legacy1_DefaultParagraphFont"/>
    <w:link w:val="Legacy1_Heading3"/>
    <w:uiPriority w:val="9"/>
    <w:rsid w:val="00FC693F"/>
    <w:rPr>
      <w:rFonts w:asciiTheme="majorHAnsi" w:eastAsiaTheme="majorEastAsia" w:hAnsiTheme="majorHAnsi" w:cstheme="majorBidi"/>
      <w:b/>
      <w:bCs/>
      <w:color w:val="4F81BD" w:themeColor="accent1"/>
    </w:rPr>
  </w:style>
  <w:style w:type="paragraph" w:styleId="Legacy1_Title">
    <w:name w:val="Legacy1_Title"/>
    <w:basedOn w:val="Legacy1_Normal"/>
    <w:next w:val="Legacy1_Normal"/>
    <w:link w:val="Legacy1_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Legacy1_TitleChar">
    <w:name w:val="Legacy1_Title Char"/>
    <w:basedOn w:val="Legacy1_DefaultParagraphFont"/>
    <w:link w:val="Legacy1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egacy1_Subtitle">
    <w:name w:val="Legacy1_Subtitle"/>
    <w:basedOn w:val="Legacy1_Normal"/>
    <w:next w:val="Legacy1_Normal"/>
    <w:link w:val="Legacy1_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Legacy1_SubtitleChar">
    <w:name w:val="Legacy1_Subtitle Char"/>
    <w:basedOn w:val="Legacy1_DefaultParagraphFont"/>
    <w:link w:val="Legacy1_Subtitle"/>
    <w:uiPriority w:val="11"/>
    <w:rsid w:val="00FC693F"/>
    <w:rPr>
      <w:rFonts w:asciiTheme="majorHAnsi" w:eastAsiaTheme="majorEastAsia" w:hAnsiTheme="majorHAnsi" w:cstheme="majorBidi"/>
      <w:i/>
      <w:iCs/>
      <w:color w:val="4F81BD" w:themeColor="accent1"/>
      <w:spacing w:val="15"/>
      <w:sz w:val="24"/>
      <w:szCs w:val="24"/>
    </w:rPr>
  </w:style>
  <w:style w:type="paragraph" w:styleId="Legacy1_ListParagraph">
    <w:name w:val="Legacy1_List Paragraph"/>
    <w:basedOn w:val="Legacy1_Normal"/>
    <w:uiPriority w:val="34"/>
    <w:qFormat/>
    <w:rsid w:val="00FC693F"/>
    <w:pPr>
      <w:ind w:left="720"/>
      <w:contextualSpacing/>
    </w:pPr>
  </w:style>
  <w:style w:type="paragraph" w:styleId="Legacy1_BodyText">
    <w:name w:val="Legacy1_Body Text"/>
    <w:basedOn w:val="Legacy1_Normal"/>
    <w:link w:val="Legacy1_BodyTextChar"/>
    <w:uiPriority w:val="99"/>
    <w:unhideWhenUsed/>
    <w:rsid w:val="00AA1D8D"/>
    <w:pPr>
      <w:spacing w:after="120"/>
    </w:pPr>
  </w:style>
  <w:style w:type="character" w:customStyle="1" w:styleId="Legacy1_BodyTextChar">
    <w:name w:val="Legacy1_Body Text Char"/>
    <w:basedOn w:val="Legacy1_DefaultParagraphFont"/>
    <w:link w:val="Legacy1_BodyText"/>
    <w:uiPriority w:val="99"/>
    <w:rsid w:val="00AA1D8D"/>
  </w:style>
  <w:style w:type="paragraph" w:styleId="Legacy1_BodyText2">
    <w:name w:val="Legacy1_Body Text 2"/>
    <w:basedOn w:val="Legacy1_Normal"/>
    <w:link w:val="Legacy1_BodyText2Char"/>
    <w:uiPriority w:val="99"/>
    <w:unhideWhenUsed/>
    <w:rsid w:val="00AA1D8D"/>
    <w:pPr>
      <w:spacing w:after="120" w:line="480" w:lineRule="auto"/>
    </w:pPr>
  </w:style>
  <w:style w:type="character" w:customStyle="1" w:styleId="Legacy1_BodyText2Char">
    <w:name w:val="Legacy1_Body Text 2 Char"/>
    <w:basedOn w:val="Legacy1_DefaultParagraphFont"/>
    <w:link w:val="Legacy1_BodyText2"/>
    <w:uiPriority w:val="99"/>
    <w:rsid w:val="00AA1D8D"/>
  </w:style>
  <w:style w:type="paragraph" w:styleId="Legacy1_BodyText3">
    <w:name w:val="Legacy1_Body Text 3"/>
    <w:basedOn w:val="Legacy1_Normal"/>
    <w:link w:val="Legacy1_BodyText3Char"/>
    <w:uiPriority w:val="99"/>
    <w:unhideWhenUsed/>
    <w:rsid w:val="00AA1D8D"/>
    <w:pPr>
      <w:spacing w:after="120"/>
    </w:pPr>
    <w:rPr>
      <w:sz w:val="16"/>
      <w:szCs w:val="16"/>
    </w:rPr>
  </w:style>
  <w:style w:type="character" w:customStyle="1" w:styleId="Legacy1_BodyText3Char">
    <w:name w:val="Legacy1_Body Text 3 Char"/>
    <w:basedOn w:val="Legacy1_DefaultParagraphFont"/>
    <w:link w:val="Legacy1_BodyText3"/>
    <w:uiPriority w:val="99"/>
    <w:rsid w:val="00AA1D8D"/>
    <w:rPr>
      <w:sz w:val="16"/>
      <w:szCs w:val="16"/>
    </w:rPr>
  </w:style>
  <w:style w:type="paragraph" w:styleId="Legacy1_List">
    <w:name w:val="Legacy1_List"/>
    <w:basedOn w:val="Legacy1_Normal"/>
    <w:uiPriority w:val="99"/>
    <w:unhideWhenUsed/>
    <w:rsid w:val="00AA1D8D"/>
    <w:pPr>
      <w:ind w:left="360" w:hanging="360"/>
      <w:contextualSpacing/>
    </w:pPr>
  </w:style>
  <w:style w:type="paragraph" w:styleId="Legacy1_List2">
    <w:name w:val="Legacy1_List 2"/>
    <w:basedOn w:val="Legacy1_Normal"/>
    <w:uiPriority w:val="99"/>
    <w:unhideWhenUsed/>
    <w:rsid w:val="00326F90"/>
    <w:pPr>
      <w:ind w:left="720" w:hanging="360"/>
      <w:contextualSpacing/>
    </w:pPr>
  </w:style>
  <w:style w:type="paragraph" w:styleId="Legacy1_List3">
    <w:name w:val="Legacy1_List 3"/>
    <w:basedOn w:val="Legacy1_Normal"/>
    <w:uiPriority w:val="99"/>
    <w:unhideWhenUsed/>
    <w:rsid w:val="00326F90"/>
    <w:pPr>
      <w:ind w:left="1080" w:hanging="360"/>
      <w:contextualSpacing/>
    </w:pPr>
  </w:style>
  <w:style w:type="paragraph" w:styleId="Legacy1_ListBullet">
    <w:name w:val="Legacy1_List Bullet"/>
    <w:basedOn w:val="Legacy1_Normal"/>
    <w:uiPriority w:val="99"/>
    <w:unhideWhenUsed/>
    <w:rsid w:val="00326F90"/>
    <w:pPr>
      <w:numPr>
        <w:numId w:val="1"/>
      </w:numPr>
      <w:contextualSpacing/>
    </w:pPr>
  </w:style>
  <w:style w:type="paragraph" w:styleId="Legacy1_ListBullet2">
    <w:name w:val="Legacy1_List Bullet 2"/>
    <w:basedOn w:val="Legacy1_Normal"/>
    <w:uiPriority w:val="99"/>
    <w:unhideWhenUsed/>
    <w:rsid w:val="00326F90"/>
    <w:pPr>
      <w:numPr>
        <w:numId w:val="2"/>
      </w:numPr>
      <w:contextualSpacing/>
    </w:pPr>
  </w:style>
  <w:style w:type="paragraph" w:styleId="Legacy1_ListBullet3">
    <w:name w:val="Legacy1_List Bullet 3"/>
    <w:basedOn w:val="Legacy1_Normal"/>
    <w:uiPriority w:val="99"/>
    <w:unhideWhenUsed/>
    <w:rsid w:val="00326F90"/>
    <w:pPr>
      <w:numPr>
        <w:numId w:val="3"/>
      </w:numPr>
      <w:contextualSpacing/>
    </w:pPr>
  </w:style>
  <w:style w:type="paragraph" w:styleId="Legacy1_ListNumber">
    <w:name w:val="Legacy1_List Number"/>
    <w:basedOn w:val="Legacy1_Normal"/>
    <w:uiPriority w:val="99"/>
    <w:unhideWhenUsed/>
    <w:rsid w:val="00326F90"/>
    <w:pPr>
      <w:numPr>
        <w:numId w:val="5"/>
      </w:numPr>
      <w:contextualSpacing/>
    </w:pPr>
  </w:style>
  <w:style w:type="paragraph" w:styleId="Legacy1_ListNumber2">
    <w:name w:val="Legacy1_List Number 2"/>
    <w:basedOn w:val="Legacy1_Normal"/>
    <w:uiPriority w:val="99"/>
    <w:unhideWhenUsed/>
    <w:rsid w:val="0029639D"/>
    <w:pPr>
      <w:numPr>
        <w:numId w:val="6"/>
      </w:numPr>
      <w:contextualSpacing/>
    </w:pPr>
  </w:style>
  <w:style w:type="paragraph" w:styleId="Legacy1_ListNumber3">
    <w:name w:val="Legacy1_List Number 3"/>
    <w:basedOn w:val="Legacy1_Normal"/>
    <w:uiPriority w:val="99"/>
    <w:unhideWhenUsed/>
    <w:rsid w:val="0029639D"/>
    <w:pPr>
      <w:numPr>
        <w:numId w:val="7"/>
      </w:numPr>
      <w:contextualSpacing/>
    </w:pPr>
  </w:style>
  <w:style w:type="paragraph" w:styleId="Legacy1_ListContinue">
    <w:name w:val="Legacy1_List Continue"/>
    <w:basedOn w:val="Legacy1_Normal"/>
    <w:uiPriority w:val="99"/>
    <w:unhideWhenUsed/>
    <w:rsid w:val="0029639D"/>
    <w:pPr>
      <w:spacing w:after="120"/>
      <w:ind w:left="360"/>
      <w:contextualSpacing/>
    </w:pPr>
  </w:style>
  <w:style w:type="paragraph" w:styleId="Legacy1_ListContinue2">
    <w:name w:val="Legacy1_List Continue 2"/>
    <w:basedOn w:val="Legacy1_Normal"/>
    <w:uiPriority w:val="99"/>
    <w:unhideWhenUsed/>
    <w:rsid w:val="0029639D"/>
    <w:pPr>
      <w:spacing w:after="120"/>
      <w:ind w:left="720"/>
      <w:contextualSpacing/>
    </w:pPr>
  </w:style>
  <w:style w:type="paragraph" w:styleId="Legacy1_ListContinue3">
    <w:name w:val="Legacy1_List Continue 3"/>
    <w:basedOn w:val="Legacy1_Normal"/>
    <w:uiPriority w:val="99"/>
    <w:unhideWhenUsed/>
    <w:rsid w:val="0029639D"/>
    <w:pPr>
      <w:spacing w:after="120"/>
      <w:ind w:left="1080"/>
      <w:contextualSpacing/>
    </w:pPr>
  </w:style>
  <w:style w:type="paragraph" w:styleId="Legacy1_MacroText">
    <w:name w:val="Legacy1_macro"/>
    <w:link w:val="Legacy1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Legacy1_MacroTextChar">
    <w:name w:val="Legacy1_Macro Text Char"/>
    <w:basedOn w:val="Legacy1_DefaultParagraphFont"/>
    <w:link w:val="Legacy1_MacroText"/>
    <w:uiPriority w:val="99"/>
    <w:rsid w:val="0029639D"/>
    <w:rPr>
      <w:rFonts w:ascii="Courier" w:hAnsi="Courier"/>
      <w:sz w:val="20"/>
      <w:szCs w:val="20"/>
    </w:rPr>
  </w:style>
  <w:style w:type="paragraph" w:styleId="Legacy1_Quote">
    <w:name w:val="Legacy1_Quote"/>
    <w:basedOn w:val="Legacy1_Normal"/>
    <w:next w:val="Legacy1_Normal"/>
    <w:link w:val="Legacy1_QuoteChar"/>
    <w:uiPriority w:val="29"/>
    <w:qFormat/>
    <w:rsid w:val="00FC693F"/>
    <w:rPr>
      <w:i/>
      <w:iCs/>
      <w:color w:val="000000" w:themeColor="text1"/>
    </w:rPr>
  </w:style>
  <w:style w:type="character" w:customStyle="1" w:styleId="Legacy1_QuoteChar">
    <w:name w:val="Legacy1_Quote Char"/>
    <w:basedOn w:val="Legacy1_DefaultParagraphFont"/>
    <w:link w:val="Legacy1_Quote"/>
    <w:uiPriority w:val="29"/>
    <w:rsid w:val="00FC693F"/>
    <w:rPr>
      <w:i/>
      <w:iCs/>
      <w:color w:val="000000" w:themeColor="text1"/>
    </w:rPr>
  </w:style>
  <w:style w:type="character" w:customStyle="1" w:styleId="Legacy1_Heading4Char">
    <w:name w:val="Legacy1_Heading 4 Char"/>
    <w:basedOn w:val="Legacy1_DefaultParagraphFont"/>
    <w:link w:val="Legacy1_Heading4"/>
    <w:uiPriority w:val="9"/>
    <w:semiHidden/>
    <w:rsid w:val="00FC693F"/>
    <w:rPr>
      <w:rFonts w:asciiTheme="majorHAnsi" w:eastAsiaTheme="majorEastAsia" w:hAnsiTheme="majorHAnsi" w:cstheme="majorBidi"/>
      <w:b/>
      <w:bCs/>
      <w:i/>
      <w:iCs/>
      <w:color w:val="4F81BD" w:themeColor="accent1"/>
    </w:rPr>
  </w:style>
  <w:style w:type="character" w:customStyle="1" w:styleId="Legacy1_Heading5Char">
    <w:name w:val="Legacy1_Heading 5 Char"/>
    <w:basedOn w:val="Legacy1_DefaultParagraphFont"/>
    <w:link w:val="Legacy1_Heading5"/>
    <w:uiPriority w:val="9"/>
    <w:semiHidden/>
    <w:rsid w:val="00FC693F"/>
    <w:rPr>
      <w:rFonts w:asciiTheme="majorHAnsi" w:eastAsiaTheme="majorEastAsia" w:hAnsiTheme="majorHAnsi" w:cstheme="majorBidi"/>
      <w:color w:val="243F60" w:themeColor="accent1" w:themeShade="7F"/>
    </w:rPr>
  </w:style>
  <w:style w:type="character" w:customStyle="1" w:styleId="Legacy1_Heading6Char">
    <w:name w:val="Legacy1_Heading 6 Char"/>
    <w:basedOn w:val="Legacy1_DefaultParagraphFont"/>
    <w:link w:val="Legacy1_Heading6"/>
    <w:uiPriority w:val="9"/>
    <w:semiHidden/>
    <w:rsid w:val="00FC693F"/>
    <w:rPr>
      <w:rFonts w:asciiTheme="majorHAnsi" w:eastAsiaTheme="majorEastAsia" w:hAnsiTheme="majorHAnsi" w:cstheme="majorBidi"/>
      <w:i/>
      <w:iCs/>
      <w:color w:val="243F60" w:themeColor="accent1" w:themeShade="7F"/>
    </w:rPr>
  </w:style>
  <w:style w:type="character" w:customStyle="1" w:styleId="Legacy1_Heading7Char">
    <w:name w:val="Legacy1_Heading 7 Char"/>
    <w:basedOn w:val="Legacy1_DefaultParagraphFont"/>
    <w:link w:val="Legacy1_Heading7"/>
    <w:uiPriority w:val="9"/>
    <w:semiHidden/>
    <w:rsid w:val="00FC693F"/>
    <w:rPr>
      <w:rFonts w:asciiTheme="majorHAnsi" w:eastAsiaTheme="majorEastAsia" w:hAnsiTheme="majorHAnsi" w:cstheme="majorBidi"/>
      <w:i/>
      <w:iCs/>
      <w:color w:val="404040" w:themeColor="text1" w:themeTint="BF"/>
    </w:rPr>
  </w:style>
  <w:style w:type="character" w:customStyle="1" w:styleId="Legacy1_Heading8Char">
    <w:name w:val="Legacy1_Heading 8 Char"/>
    <w:basedOn w:val="Legacy1_DefaultParagraphFont"/>
    <w:link w:val="Legacy1_Heading8"/>
    <w:uiPriority w:val="9"/>
    <w:semiHidden/>
    <w:rsid w:val="00FC693F"/>
    <w:rPr>
      <w:rFonts w:asciiTheme="majorHAnsi" w:eastAsiaTheme="majorEastAsia" w:hAnsiTheme="majorHAnsi" w:cstheme="majorBidi"/>
      <w:color w:val="4F81BD" w:themeColor="accent1"/>
      <w:sz w:val="20"/>
      <w:szCs w:val="20"/>
    </w:rPr>
  </w:style>
  <w:style w:type="character" w:customStyle="1" w:styleId="Legacy1_Heading9Char">
    <w:name w:val="Legacy1_Heading 9 Char"/>
    <w:basedOn w:val="Legacy1_DefaultParagraphFont"/>
    <w:link w:val="Legacy1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Legacy1_Caption">
    <w:name w:val="Legacy1_caption"/>
    <w:basedOn w:val="Legacy1_Normal"/>
    <w:next w:val="Legacy1_Normal"/>
    <w:uiPriority w:val="35"/>
    <w:semiHidden/>
    <w:unhideWhenUsed/>
    <w:qFormat/>
    <w:rsid w:val="00FC693F"/>
    <w:pPr>
      <w:spacing w:line="240" w:lineRule="auto"/>
    </w:pPr>
    <w:rPr>
      <w:b/>
      <w:bCs/>
      <w:color w:val="4F81BD" w:themeColor="accent1"/>
      <w:sz w:val="18"/>
      <w:szCs w:val="18"/>
    </w:rPr>
  </w:style>
  <w:style w:type="character" w:styleId="Legacy1_Strong">
    <w:name w:val="Legacy1_Strong"/>
    <w:basedOn w:val="Legacy1_DefaultParagraphFont"/>
    <w:uiPriority w:val="22"/>
    <w:qFormat/>
    <w:rsid w:val="00FC693F"/>
    <w:rPr>
      <w:b/>
      <w:bCs/>
    </w:rPr>
  </w:style>
  <w:style w:type="character" w:styleId="Legacy1_Emphasis">
    <w:name w:val="Legacy1_Emphasis"/>
    <w:basedOn w:val="Legacy1_DefaultParagraphFont"/>
    <w:uiPriority w:val="20"/>
    <w:qFormat/>
    <w:rsid w:val="00FC693F"/>
    <w:rPr>
      <w:i/>
      <w:iCs/>
    </w:rPr>
  </w:style>
  <w:style w:type="paragraph" w:styleId="Legacy1_IntenseQuote">
    <w:name w:val="Legacy1_Intense Quote"/>
    <w:basedOn w:val="Legacy1_Normal"/>
    <w:next w:val="Legacy1_Normal"/>
    <w:link w:val="Legacy1_IntenseQuoteChar"/>
    <w:uiPriority w:val="30"/>
    <w:qFormat/>
    <w:rsid w:val="00FC693F"/>
    <w:pPr>
      <w:spacing w:before="200" w:after="280"/>
      <w:ind w:left="936" w:right="936"/>
    </w:pPr>
    <w:rPr>
      <w:b/>
      <w:bCs/>
      <w:i/>
      <w:iCs/>
      <w:color w:val="4F81BD" w:themeColor="accent1"/>
    </w:rPr>
  </w:style>
  <w:style w:type="character" w:customStyle="1" w:styleId="Legacy1_IntenseQuoteChar">
    <w:name w:val="Legacy1_Intense Quote Char"/>
    <w:basedOn w:val="Legacy1_DefaultParagraphFont"/>
    <w:link w:val="Legacy1_IntenseQuote"/>
    <w:uiPriority w:val="30"/>
    <w:rsid w:val="00FC693F"/>
    <w:rPr>
      <w:b/>
      <w:bCs/>
      <w:i/>
      <w:iCs/>
      <w:color w:val="4F81BD" w:themeColor="accent1"/>
    </w:rPr>
  </w:style>
  <w:style w:type="character" w:styleId="Legacy1_SubtleEmphasis">
    <w:name w:val="Legacy1_Subtle Emphasis"/>
    <w:basedOn w:val="Legacy1_DefaultParagraphFont"/>
    <w:uiPriority w:val="19"/>
    <w:qFormat/>
    <w:rsid w:val="00FC693F"/>
    <w:rPr>
      <w:i/>
      <w:iCs/>
      <w:color w:val="808080" w:themeColor="text1" w:themeTint="7F"/>
    </w:rPr>
  </w:style>
  <w:style w:type="character" w:styleId="Legacy1_IntenseEmphasis">
    <w:name w:val="Legacy1_Intense Emphasis"/>
    <w:basedOn w:val="Legacy1_DefaultParagraphFont"/>
    <w:uiPriority w:val="21"/>
    <w:qFormat/>
    <w:rsid w:val="00FC693F"/>
    <w:rPr>
      <w:b/>
      <w:bCs/>
      <w:i/>
      <w:iCs/>
      <w:color w:val="4F81BD" w:themeColor="accent1"/>
    </w:rPr>
  </w:style>
  <w:style w:type="character" w:styleId="Legacy1_SubtleReference">
    <w:name w:val="Legacy1_Subtle Reference"/>
    <w:basedOn w:val="Legacy1_DefaultParagraphFont"/>
    <w:uiPriority w:val="31"/>
    <w:qFormat/>
    <w:rsid w:val="00FC693F"/>
    <w:rPr>
      <w:smallCaps/>
      <w:color w:val="C0504D" w:themeColor="accent2"/>
      <w:u w:val="single"/>
    </w:rPr>
  </w:style>
  <w:style w:type="character" w:styleId="Legacy1_IntenseReference">
    <w:name w:val="Legacy1_Intense Reference"/>
    <w:basedOn w:val="Legacy1_DefaultParagraphFont"/>
    <w:uiPriority w:val="32"/>
    <w:qFormat/>
    <w:rsid w:val="00FC693F"/>
    <w:rPr>
      <w:b/>
      <w:bCs/>
      <w:smallCaps/>
      <w:color w:val="C0504D" w:themeColor="accent2"/>
      <w:spacing w:val="5"/>
      <w:u w:val="single"/>
    </w:rPr>
  </w:style>
  <w:style w:type="character" w:styleId="Legacy1_BookTitle">
    <w:name w:val="Legacy1_Book Title"/>
    <w:basedOn w:val="Legacy1_DefaultParagraphFont"/>
    <w:uiPriority w:val="33"/>
    <w:qFormat/>
    <w:rsid w:val="00FC693F"/>
    <w:rPr>
      <w:b/>
      <w:bCs/>
      <w:smallCaps/>
      <w:spacing w:val="5"/>
    </w:rPr>
  </w:style>
  <w:style w:type="paragraph" w:styleId="Legacy1_TOCHeading">
    <w:name w:val="Legacy1_TOC Heading"/>
    <w:basedOn w:val="Legacy1_Heading1"/>
    <w:next w:val="Legacy1_Normal"/>
    <w:uiPriority w:val="39"/>
    <w:semiHidden/>
    <w:unhideWhenUsed/>
    <w:qFormat/>
    <w:rsid w:val="00FC693F"/>
    <w:pPr>
      <w:outlineLvl w:val="9"/>
    </w:pPr>
  </w:style>
  <w:style w:type="table" w:styleId="Legacy1_TableGrid">
    <w:name w:val="Legacy1_Table Grid"/>
    <w:basedOn w:val="Legacy1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egacy1_LightShading">
    <w:name w:val="Legacy1_Light Shading"/>
    <w:basedOn w:val="Legacy1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egacy1_LightShading-Accent1">
    <w:name w:val="Legacy1_Light Shading Accent 1"/>
    <w:basedOn w:val="Legacy1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egacy1_LightShading-Accent2">
    <w:name w:val="Legacy1_Light Shading Accent 2"/>
    <w:basedOn w:val="Legacy1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egacy1_LightShading-Accent3">
    <w:name w:val="Legacy1_Light Shading Accent 3"/>
    <w:basedOn w:val="Legacy1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egacy1_LightShading-Accent4">
    <w:name w:val="Legacy1_Light Shading Accent 4"/>
    <w:basedOn w:val="Legacy1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egacy1_LightShading-Accent5">
    <w:name w:val="Legacy1_Light Shading Accent 5"/>
    <w:basedOn w:val="Legacy1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egacy1_LightShading-Accent6">
    <w:name w:val="Legacy1_Light Shading Accent 6"/>
    <w:basedOn w:val="Legacy1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egacy1_LightList">
    <w:name w:val="Legacy1_Light List"/>
    <w:basedOn w:val="Legacy1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egacy1_LightList-Accent1">
    <w:name w:val="Legacy1_Light List Accent 1"/>
    <w:basedOn w:val="Legacy1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egacy1_LightList-Accent2">
    <w:name w:val="Legacy1_Light List Accent 2"/>
    <w:basedOn w:val="Legacy1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egacy1_LightList-Accent3">
    <w:name w:val="Legacy1_Light List Accent 3"/>
    <w:basedOn w:val="Legacy1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egacy1_LightList-Accent4">
    <w:name w:val="Legacy1_Light List Accent 4"/>
    <w:basedOn w:val="Legacy1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egacy1_LightList-Accent5">
    <w:name w:val="Legacy1_Light List Accent 5"/>
    <w:basedOn w:val="Legacy1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egacy1_LightList-Accent6">
    <w:name w:val="Legacy1_Light List Accent 6"/>
    <w:basedOn w:val="Legacy1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egacy1_LightGrid">
    <w:name w:val="Legacy1_Light Grid"/>
    <w:basedOn w:val="Legacy1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egacy1_LightGrid-Accent1">
    <w:name w:val="Legacy1_Light Grid Accent 1"/>
    <w:basedOn w:val="Legacy1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egacy1_LightGrid-Accent2">
    <w:name w:val="Legacy1_Light Grid Accent 2"/>
    <w:basedOn w:val="Legacy1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egacy1_LightGrid-Accent3">
    <w:name w:val="Legacy1_Light Grid Accent 3"/>
    <w:basedOn w:val="Legacy1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egacy1_LightGrid-Accent4">
    <w:name w:val="Legacy1_Light Grid Accent 4"/>
    <w:basedOn w:val="Legacy1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egacy1_LightGrid-Accent5">
    <w:name w:val="Legacy1_Light Grid Accent 5"/>
    <w:basedOn w:val="Legacy1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egacy1_LightGrid-Accent6">
    <w:name w:val="Legacy1_Light Grid Accent 6"/>
    <w:basedOn w:val="Legacy1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egacy1_MediumShading1">
    <w:name w:val="Legacy1_Medium Shading 1"/>
    <w:basedOn w:val="Legacy1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egacy1_MediumShading1-Accent1">
    <w:name w:val="Legacy1_Medium Shading 1 Accent 1"/>
    <w:basedOn w:val="Legacy1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egacy1_MediumShading1-Accent2">
    <w:name w:val="Legacy1_Medium Shading 1 Accent 2"/>
    <w:basedOn w:val="Legacy1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egacy1_MediumShading1-Accent3">
    <w:name w:val="Legacy1_Medium Shading 1 Accent 3"/>
    <w:basedOn w:val="Legacy1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egacy1_MediumShading1-Accent4">
    <w:name w:val="Legacy1_Medium Shading 1 Accent 4"/>
    <w:basedOn w:val="Legacy1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egacy1_MediumShading1-Accent5">
    <w:name w:val="Legacy1_Medium Shading 1 Accent 5"/>
    <w:basedOn w:val="Legacy1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egacy1_MediumShading1-Accent6">
    <w:name w:val="Legacy1_Medium Shading 1 Accent 6"/>
    <w:basedOn w:val="Legacy1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egacy1_MediumShading2">
    <w:name w:val="Legacy1_Medium Shading 2"/>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Shading2-Accent1">
    <w:name w:val="Legacy1_Medium Shading 2 Accent 1"/>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Shading2-Accent2">
    <w:name w:val="Legacy1_Medium Shading 2 Accent 2"/>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Shading2-Accent3">
    <w:name w:val="Legacy1_Medium Shading 2 Accent 3"/>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Shading2-Accent4">
    <w:name w:val="Legacy1_Medium Shading 2 Accent 4"/>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Shading2-Accent5">
    <w:name w:val="Legacy1_Medium Shading 2 Accent 5"/>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Shading2-Accent6">
    <w:name w:val="Legacy1_Medium Shading 2 Accent 6"/>
    <w:basedOn w:val="Legacy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1_MediumList1">
    <w:name w:val="Legacy1_Medium List 1"/>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egacy1_MediumList1-Accent1">
    <w:name w:val="Legacy1_Medium List 1 Accent 1"/>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egacy1_MediumList1-Accent2">
    <w:name w:val="Legacy1_Medium List 1 Accent 2"/>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egacy1_MediumList1-Accent3">
    <w:name w:val="Legacy1_Medium List 1 Accent 3"/>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egacy1_MediumList1-Accent4">
    <w:name w:val="Legacy1_Medium List 1 Accent 4"/>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egacy1_MediumList1-Accent5">
    <w:name w:val="Legacy1_Medium List 1 Accent 5"/>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egacy1_MediumList1-Accent6">
    <w:name w:val="Legacy1_Medium List 1 Accent 6"/>
    <w:basedOn w:val="Legacy1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egacy1_MediumList2">
    <w:name w:val="Legacy1_Medium List 2"/>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List2-Accent1">
    <w:name w:val="Legacy1_Medium List 2 Accent 1"/>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List2-Accent2">
    <w:name w:val="Legacy1_Medium List 2 Accent 2"/>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List2-Accent3">
    <w:name w:val="Legacy1_Medium List 2 Accent 3"/>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List2-Accent4">
    <w:name w:val="Legacy1_Medium List 2 Accent 4"/>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List2-Accent5">
    <w:name w:val="Legacy1_Medium List 2 Accent 5"/>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List2-Accent6">
    <w:name w:val="Legacy1_Medium List 2 Accent 6"/>
    <w:basedOn w:val="Legacy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1_MediumGrid1">
    <w:name w:val="Legacy1_Medium Grid 1"/>
    <w:basedOn w:val="Legacy1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1_MediumGrid1-Accent1">
    <w:name w:val="Legacy1_Medium Grid 1 Accent 1"/>
    <w:basedOn w:val="Legacy1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1_MediumGrid1-Accent2">
    <w:name w:val="Legacy1_Medium Grid 1 Accent 2"/>
    <w:basedOn w:val="Legacy1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1_MediumGrid1-Accent3">
    <w:name w:val="Legacy1_Medium Grid 1 Accent 3"/>
    <w:basedOn w:val="Legacy1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1_MediumGrid1-Accent4">
    <w:name w:val="Legacy1_Medium Grid 1 Accent 4"/>
    <w:basedOn w:val="Legacy1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1_MediumGrid1-Accent5">
    <w:name w:val="Legacy1_Medium Grid 1 Accent 5"/>
    <w:basedOn w:val="Legacy1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1_MediumGrid1-Accent6">
    <w:name w:val="Legacy1_Medium Grid 1 Accent 6"/>
    <w:basedOn w:val="Legacy1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egacy1_MediumGrid2">
    <w:name w:val="Legacy1_Medium Grid 2"/>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egacy1_MediumGrid2-Accent1">
    <w:name w:val="Legacy1_Medium Grid 2 Accent 1"/>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egacy1_MediumGrid2-Accent2">
    <w:name w:val="Legacy1_Medium Grid 2 Accent 2"/>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egacy1_MediumGrid2-Accent3">
    <w:name w:val="Legacy1_Medium Grid 2 Accent 3"/>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egacy1_MediumGrid2-Accent4">
    <w:name w:val="Legacy1_Medium Grid 2 Accent 4"/>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egacy1_MediumGrid2-Accent5">
    <w:name w:val="Legacy1_Medium Grid 2 Accent 5"/>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egacy1_MediumGrid2-Accent6">
    <w:name w:val="Legacy1_Medium Grid 2 Accent 6"/>
    <w:basedOn w:val="Legacy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egacy1_MediumGrid3">
    <w:name w:val="Legacy1_Medium Grid 3"/>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egacy1_MediumGrid3-Accent1">
    <w:name w:val="Legacy1_Medium Grid 3 Accent 1"/>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egacy1_MediumGrid3-Accent2">
    <w:name w:val="Legacy1_Medium Grid 3 Accent 2"/>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egacy1_MediumGrid3-Accent3">
    <w:name w:val="Legacy1_Medium Grid 3 Accent 3"/>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egacy1_MediumGrid3-Accent4">
    <w:name w:val="Legacy1_Medium Grid 3 Accent 4"/>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egacy1_MediumGrid3-Accent5">
    <w:name w:val="Legacy1_Medium Grid 3 Accent 5"/>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egacy1_MediumGrid3-Accent6">
    <w:name w:val="Legacy1_Medium Grid 3 Accent 6"/>
    <w:basedOn w:val="Legacy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egacy1_DarkList">
    <w:name w:val="Legacy1_Dark List"/>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egacy1_DarkList-Accent1">
    <w:name w:val="Legacy1_Dark List Accent 1"/>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egacy1_DarkList-Accent2">
    <w:name w:val="Legacy1_Dark List Accent 2"/>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egacy1_DarkList-Accent3">
    <w:name w:val="Legacy1_Dark List Accent 3"/>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egacy1_DarkList-Accent4">
    <w:name w:val="Legacy1_Dark List Accent 4"/>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egacy1_DarkList-Accent5">
    <w:name w:val="Legacy1_Dark List Accent 5"/>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egacy1_DarkList-Accent6">
    <w:name w:val="Legacy1_Dark List Accent 6"/>
    <w:basedOn w:val="Legacy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egacy1_ColorfulShading">
    <w:name w:val="Legacy1_Colorful Shading"/>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egacy1_ColorfulShading-Accent1">
    <w:name w:val="Legacy1_Colorful Shading Accent 1"/>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egacy1_ColorfulShading-Accent2">
    <w:name w:val="Legacy1_Colorful Shading Accent 2"/>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egacy1_ColorfulShading-Accent3">
    <w:name w:val="Legacy1_Colorful Shading Accent 3"/>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egacy1_ColorfulShading-Accent4">
    <w:name w:val="Legacy1_Colorful Shading Accent 4"/>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Legacy1_ColorfulShading-Accent5">
    <w:name w:val="Legacy1_Colorful Shading Accent 5"/>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egacy1_ColorfulShading-Accent6">
    <w:name w:val="Legacy1_Colorful Shading Accent 6"/>
    <w:basedOn w:val="Legacy1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egacy1_ColorfulList">
    <w:name w:val="Legacy1_Colorful List"/>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egacy1_ColorfulList-Accent1">
    <w:name w:val="Legacy1_Colorful List Accent 1"/>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egacy1_ColorfulList-Accent2">
    <w:name w:val="Legacy1_Colorful List Accent 2"/>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egacy1_ColorfulList-Accent3">
    <w:name w:val="Legacy1_Colorful List Accent 3"/>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egacy1_ColorfulList-Accent4">
    <w:name w:val="Legacy1_Colorful List Accent 4"/>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egacy1_ColorfulList-Accent5">
    <w:name w:val="Legacy1_Colorful List Accent 5"/>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egacy1_ColorfulList-Accent6">
    <w:name w:val="Legacy1_Colorful List Accent 6"/>
    <w:basedOn w:val="Legacy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egacy1_ColorfulGrid">
    <w:name w:val="Legacy1_Colorful Grid"/>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1_ColorfulGrid-Accent1">
    <w:name w:val="Legacy1_Colorful Grid Accent 1"/>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1_ColorfulGrid-Accent2">
    <w:name w:val="Legacy1_Colorful Grid Accent 2"/>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1_ColorfulGrid-Accent3">
    <w:name w:val="Legacy1_Colorful Grid Accent 3"/>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1_ColorfulGrid-Accent4">
    <w:name w:val="Legacy1_Colorful Grid Accent 4"/>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1_ColorfulGrid-Accent5">
    <w:name w:val="Legacy1_Colorful Grid Accent 5"/>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1_ColorfulGrid-Accent6">
    <w:name w:val="Legacy1_Colorful Grid Accent 6"/>
    <w:basedOn w:val="Legacy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LegacyHead1_Normal">
    <w:name w:val="LegacyHead1_Normal"/>
    <w:qFormat/>
    <w:rsid w:val="00FC693F"/>
    <w:pPr>
      <w:spacing w:after="120"/>
    </w:pPr>
    <w:rPr>
      <w:rFonts w:ascii="Calibri" w:hAnsi="Calibri"/>
      <w:sz w:val="20"/>
    </w:rPr>
  </w:style>
  <w:style w:type="paragraph" w:styleId="LegacyHead1_Header">
    <w:name w:val="LegacyHead1_header"/>
    <w:basedOn w:val="LegacyHead1_Normal"/>
    <w:link w:val="LegacyHead1_HeaderChar"/>
    <w:uiPriority w:val="99"/>
    <w:unhideWhenUsed/>
    <w:rsid w:val="00E618BF"/>
    <w:pPr>
      <w:tabs>
        <w:tab w:val="center" w:pos="4680"/>
        <w:tab w:val="right" w:pos="9360"/>
      </w:tabs>
      <w:spacing w:after="0" w:line="240" w:lineRule="auto"/>
    </w:pPr>
  </w:style>
  <w:style w:type="character" w:customStyle="1" w:styleId="LegacyHead1_HeaderChar">
    <w:name w:val="LegacyHead1_Header Char"/>
    <w:basedOn w:val="LegacyHead1_DefaultParagraphFont"/>
    <w:link w:val="LegacyHead1_Header"/>
    <w:uiPriority w:val="99"/>
    <w:rsid w:val="00E618BF"/>
  </w:style>
  <w:style w:type="paragraph" w:styleId="LegacyHead1_Footer">
    <w:name w:val="LegacyHead1_footer"/>
    <w:basedOn w:val="LegacyHead1_Normal"/>
    <w:link w:val="LegacyHead1_FooterChar"/>
    <w:uiPriority w:val="99"/>
    <w:unhideWhenUsed/>
    <w:rsid w:val="00E618BF"/>
    <w:pPr>
      <w:tabs>
        <w:tab w:val="center" w:pos="4680"/>
        <w:tab w:val="right" w:pos="9360"/>
      </w:tabs>
      <w:spacing w:after="0" w:line="240" w:lineRule="auto"/>
    </w:pPr>
  </w:style>
  <w:style w:type="character" w:customStyle="1" w:styleId="LegacyHead1_FooterChar">
    <w:name w:val="LegacyHead1_Footer Char"/>
    <w:basedOn w:val="LegacyHead1_DefaultParagraphFont"/>
    <w:link w:val="LegacyHead1_Footer"/>
    <w:uiPriority w:val="99"/>
    <w:rsid w:val="00E618BF"/>
  </w:style>
  <w:style w:type="paragraph" w:styleId="LegacyHead1_Heading1">
    <w:name w:val="LegacyHead1_heading 1"/>
    <w:basedOn w:val="LegacyHead1_Normal"/>
    <w:next w:val="LegacyHead1_Normal"/>
    <w:link w:val="LegacyHead1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LegacyHead1_Heading2">
    <w:name w:val="LegacyHead1_heading 2"/>
    <w:basedOn w:val="LegacyHead1_Normal"/>
    <w:next w:val="LegacyHead1_Normal"/>
    <w:link w:val="LegacyHead1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LegacyHead1_Heading3">
    <w:name w:val="LegacyHead1_heading 3"/>
    <w:basedOn w:val="LegacyHead1_Normal"/>
    <w:next w:val="LegacyHead1_Normal"/>
    <w:link w:val="LegacyHead1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LegacyHead1_Heading4">
    <w:name w:val="LegacyHead1_heading 4"/>
    <w:basedOn w:val="LegacyHead1_Normal"/>
    <w:next w:val="LegacyHead1_Normal"/>
    <w:link w:val="LegacyHead1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LegacyHead1_Heading5">
    <w:name w:val="LegacyHead1_heading 5"/>
    <w:basedOn w:val="LegacyHead1_Normal"/>
    <w:next w:val="LegacyHead1_Normal"/>
    <w:link w:val="LegacyHead1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LegacyHead1_Heading6">
    <w:name w:val="LegacyHead1_heading 6"/>
    <w:basedOn w:val="LegacyHead1_Normal"/>
    <w:next w:val="LegacyHead1_Normal"/>
    <w:link w:val="LegacyHead1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LegacyHead1_Heading7">
    <w:name w:val="LegacyHead1_heading 7"/>
    <w:basedOn w:val="LegacyHead1_Normal"/>
    <w:next w:val="LegacyHead1_Normal"/>
    <w:link w:val="LegacyHead1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LegacyHead1_Heading8">
    <w:name w:val="LegacyHead1_heading 8"/>
    <w:basedOn w:val="LegacyHead1_Normal"/>
    <w:next w:val="LegacyHead1_Normal"/>
    <w:link w:val="LegacyHead1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LegacyHead1_Heading9">
    <w:name w:val="LegacyHead1_heading 9"/>
    <w:basedOn w:val="LegacyHead1_Normal"/>
    <w:next w:val="LegacyHead1_Normal"/>
    <w:link w:val="LegacyHead1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egacyHead1_DefaultParagraphFont">
    <w:name w:val="LegacyHead1_Default Paragraph Font"/>
    <w:uiPriority w:val="1"/>
    <w:semiHidden/>
    <w:unhideWhenUsed/>
  </w:style>
  <w:style w:type="table" w:default="1" w:styleId="LegacyHead1_TableNormal">
    <w:name w:val="LegacyHead1_Normal Table"/>
    <w:uiPriority w:val="99"/>
    <w:semiHidden/>
    <w:unhideWhenUsed/>
    <w:tblPr>
      <w:tblInd w:w="0" w:type="dxa"/>
      <w:tblCellMar>
        <w:top w:w="0" w:type="dxa"/>
        <w:left w:w="108" w:type="dxa"/>
        <w:bottom w:w="0" w:type="dxa"/>
        <w:right w:w="108" w:type="dxa"/>
      </w:tblCellMar>
    </w:tblPr>
  </w:style>
  <w:style w:type="numbering" w:default="1" w:styleId="LegacyHead1_NoList">
    <w:name w:val="LegacyHead1_No List"/>
    <w:uiPriority w:val="99"/>
    <w:semiHidden/>
    <w:unhideWhenUsed/>
  </w:style>
  <w:style w:type="paragraph" w:styleId="LegacyHead1_NoSpacing">
    <w:name w:val="LegacyHead1_No Spacing"/>
    <w:uiPriority w:val="1"/>
    <w:qFormat/>
    <w:rsid w:val="00FC693F"/>
    <w:pPr>
      <w:spacing w:after="0" w:line="240" w:lineRule="auto"/>
    </w:pPr>
  </w:style>
  <w:style w:type="character" w:customStyle="1" w:styleId="LegacyHead1_Heading1Char">
    <w:name w:val="LegacyHead1_Heading 1 Char"/>
    <w:basedOn w:val="LegacyHead1_DefaultParagraphFont"/>
    <w:link w:val="LegacyHead1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LegacyHead1_Heading2Char">
    <w:name w:val="LegacyHead1_Heading 2 Char"/>
    <w:basedOn w:val="LegacyHead1_DefaultParagraphFont"/>
    <w:link w:val="LegacyHead1_Heading2"/>
    <w:uiPriority w:val="9"/>
    <w:rsid w:val="00FC693F"/>
    <w:rPr>
      <w:rFonts w:asciiTheme="majorHAnsi" w:eastAsiaTheme="majorEastAsia" w:hAnsiTheme="majorHAnsi" w:cstheme="majorBidi"/>
      <w:b/>
      <w:bCs/>
      <w:color w:val="4F81BD" w:themeColor="accent1"/>
      <w:sz w:val="26"/>
      <w:szCs w:val="26"/>
    </w:rPr>
  </w:style>
  <w:style w:type="character" w:customStyle="1" w:styleId="LegacyHead1_Heading3Char">
    <w:name w:val="LegacyHead1_Heading 3 Char"/>
    <w:basedOn w:val="LegacyHead1_DefaultParagraphFont"/>
    <w:link w:val="LegacyHead1_Heading3"/>
    <w:uiPriority w:val="9"/>
    <w:rsid w:val="00FC693F"/>
    <w:rPr>
      <w:rFonts w:asciiTheme="majorHAnsi" w:eastAsiaTheme="majorEastAsia" w:hAnsiTheme="majorHAnsi" w:cstheme="majorBidi"/>
      <w:b/>
      <w:bCs/>
      <w:color w:val="4F81BD" w:themeColor="accent1"/>
    </w:rPr>
  </w:style>
  <w:style w:type="paragraph" w:styleId="LegacyHead1_Title">
    <w:name w:val="LegacyHead1_Title"/>
    <w:basedOn w:val="LegacyHead1_Normal"/>
    <w:next w:val="LegacyHead1_Normal"/>
    <w:link w:val="LegacyHead1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LegacyHead1_TitleChar">
    <w:name w:val="LegacyHead1_Title Char"/>
    <w:basedOn w:val="LegacyHead1_DefaultParagraphFont"/>
    <w:link w:val="LegacyHead1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egacyHead1_Subtitle">
    <w:name w:val="LegacyHead1_Subtitle"/>
    <w:basedOn w:val="LegacyHead1_Normal"/>
    <w:next w:val="LegacyHead1_Normal"/>
    <w:link w:val="LegacyHead1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LegacyHead1_SubtitleChar">
    <w:name w:val="LegacyHead1_Subtitle Char"/>
    <w:basedOn w:val="LegacyHead1_DefaultParagraphFont"/>
    <w:link w:val="LegacyHead1_Subtitle"/>
    <w:uiPriority w:val="11"/>
    <w:rsid w:val="00FC693F"/>
    <w:rPr>
      <w:rFonts w:asciiTheme="majorHAnsi" w:eastAsiaTheme="majorEastAsia" w:hAnsiTheme="majorHAnsi" w:cstheme="majorBidi"/>
      <w:i/>
      <w:iCs/>
      <w:color w:val="4F81BD" w:themeColor="accent1"/>
      <w:spacing w:val="15"/>
      <w:sz w:val="24"/>
      <w:szCs w:val="24"/>
    </w:rPr>
  </w:style>
  <w:style w:type="paragraph" w:styleId="LegacyHead1_ListParagraph">
    <w:name w:val="LegacyHead1_List Paragraph"/>
    <w:basedOn w:val="LegacyHead1_Normal"/>
    <w:uiPriority w:val="34"/>
    <w:qFormat/>
    <w:rsid w:val="00FC693F"/>
    <w:pPr>
      <w:ind w:left="720"/>
      <w:contextualSpacing/>
    </w:pPr>
  </w:style>
  <w:style w:type="paragraph" w:styleId="LegacyHead1_BodyText">
    <w:name w:val="LegacyHead1_Body Text"/>
    <w:basedOn w:val="LegacyHead1_Normal"/>
    <w:link w:val="LegacyHead1_BodyTextChar"/>
    <w:uiPriority w:val="99"/>
    <w:unhideWhenUsed/>
    <w:rsid w:val="00AA1D8D"/>
    <w:pPr>
      <w:spacing w:after="120"/>
    </w:pPr>
  </w:style>
  <w:style w:type="character" w:customStyle="1" w:styleId="LegacyHead1_BodyTextChar">
    <w:name w:val="LegacyHead1_Body Text Char"/>
    <w:basedOn w:val="LegacyHead1_DefaultParagraphFont"/>
    <w:link w:val="LegacyHead1_BodyText"/>
    <w:uiPriority w:val="99"/>
    <w:rsid w:val="00AA1D8D"/>
  </w:style>
  <w:style w:type="paragraph" w:styleId="LegacyHead1_BodyText2">
    <w:name w:val="LegacyHead1_Body Text 2"/>
    <w:basedOn w:val="LegacyHead1_Normal"/>
    <w:link w:val="LegacyHead1_BodyText2Char"/>
    <w:uiPriority w:val="99"/>
    <w:unhideWhenUsed/>
    <w:rsid w:val="00AA1D8D"/>
    <w:pPr>
      <w:spacing w:after="120" w:line="480" w:lineRule="auto"/>
    </w:pPr>
  </w:style>
  <w:style w:type="character" w:customStyle="1" w:styleId="LegacyHead1_BodyText2Char">
    <w:name w:val="LegacyHead1_Body Text 2 Char"/>
    <w:basedOn w:val="LegacyHead1_DefaultParagraphFont"/>
    <w:link w:val="LegacyHead1_BodyText2"/>
    <w:uiPriority w:val="99"/>
    <w:rsid w:val="00AA1D8D"/>
  </w:style>
  <w:style w:type="paragraph" w:styleId="LegacyHead1_BodyText3">
    <w:name w:val="LegacyHead1_Body Text 3"/>
    <w:basedOn w:val="LegacyHead1_Normal"/>
    <w:link w:val="LegacyHead1_BodyText3Char"/>
    <w:uiPriority w:val="99"/>
    <w:unhideWhenUsed/>
    <w:rsid w:val="00AA1D8D"/>
    <w:pPr>
      <w:spacing w:after="120"/>
    </w:pPr>
    <w:rPr>
      <w:sz w:val="16"/>
      <w:szCs w:val="16"/>
    </w:rPr>
  </w:style>
  <w:style w:type="character" w:customStyle="1" w:styleId="LegacyHead1_BodyText3Char">
    <w:name w:val="LegacyHead1_Body Text 3 Char"/>
    <w:basedOn w:val="LegacyHead1_DefaultParagraphFont"/>
    <w:link w:val="LegacyHead1_BodyText3"/>
    <w:uiPriority w:val="99"/>
    <w:rsid w:val="00AA1D8D"/>
    <w:rPr>
      <w:sz w:val="16"/>
      <w:szCs w:val="16"/>
    </w:rPr>
  </w:style>
  <w:style w:type="paragraph" w:styleId="LegacyHead1_List">
    <w:name w:val="LegacyHead1_List"/>
    <w:basedOn w:val="LegacyHead1_Normal"/>
    <w:uiPriority w:val="99"/>
    <w:unhideWhenUsed/>
    <w:rsid w:val="00AA1D8D"/>
    <w:pPr>
      <w:ind w:left="360" w:hanging="360"/>
      <w:contextualSpacing/>
    </w:pPr>
  </w:style>
  <w:style w:type="paragraph" w:styleId="LegacyHead1_List2">
    <w:name w:val="LegacyHead1_List 2"/>
    <w:basedOn w:val="LegacyHead1_Normal"/>
    <w:uiPriority w:val="99"/>
    <w:unhideWhenUsed/>
    <w:rsid w:val="00326F90"/>
    <w:pPr>
      <w:ind w:left="720" w:hanging="360"/>
      <w:contextualSpacing/>
    </w:pPr>
  </w:style>
  <w:style w:type="paragraph" w:styleId="LegacyHead1_List3">
    <w:name w:val="LegacyHead1_List 3"/>
    <w:basedOn w:val="LegacyHead1_Normal"/>
    <w:uiPriority w:val="99"/>
    <w:unhideWhenUsed/>
    <w:rsid w:val="00326F90"/>
    <w:pPr>
      <w:ind w:left="1080" w:hanging="360"/>
      <w:contextualSpacing/>
    </w:pPr>
  </w:style>
  <w:style w:type="paragraph" w:styleId="LegacyHead1_ListBullet">
    <w:name w:val="LegacyHead1_List Bullet"/>
    <w:basedOn w:val="LegacyHead1_Normal"/>
    <w:uiPriority w:val="99"/>
    <w:unhideWhenUsed/>
    <w:rsid w:val="00326F90"/>
    <w:pPr>
      <w:numPr>
        <w:numId w:val="1"/>
      </w:numPr>
      <w:contextualSpacing/>
    </w:pPr>
  </w:style>
  <w:style w:type="paragraph" w:styleId="LegacyHead1_ListBullet2">
    <w:name w:val="LegacyHead1_List Bullet 2"/>
    <w:basedOn w:val="LegacyHead1_Normal"/>
    <w:uiPriority w:val="99"/>
    <w:unhideWhenUsed/>
    <w:rsid w:val="00326F90"/>
    <w:pPr>
      <w:numPr>
        <w:numId w:val="2"/>
      </w:numPr>
      <w:contextualSpacing/>
    </w:pPr>
  </w:style>
  <w:style w:type="paragraph" w:styleId="LegacyHead1_ListBullet3">
    <w:name w:val="LegacyHead1_List Bullet 3"/>
    <w:basedOn w:val="LegacyHead1_Normal"/>
    <w:uiPriority w:val="99"/>
    <w:unhideWhenUsed/>
    <w:rsid w:val="00326F90"/>
    <w:pPr>
      <w:numPr>
        <w:numId w:val="3"/>
      </w:numPr>
      <w:contextualSpacing/>
    </w:pPr>
  </w:style>
  <w:style w:type="paragraph" w:styleId="LegacyHead1_ListNumber">
    <w:name w:val="LegacyHead1_List Number"/>
    <w:basedOn w:val="LegacyHead1_Normal"/>
    <w:uiPriority w:val="99"/>
    <w:unhideWhenUsed/>
    <w:rsid w:val="00326F90"/>
    <w:pPr>
      <w:numPr>
        <w:numId w:val="5"/>
      </w:numPr>
      <w:contextualSpacing/>
    </w:pPr>
  </w:style>
  <w:style w:type="paragraph" w:styleId="LegacyHead1_ListNumber2">
    <w:name w:val="LegacyHead1_List Number 2"/>
    <w:basedOn w:val="LegacyHead1_Normal"/>
    <w:uiPriority w:val="99"/>
    <w:unhideWhenUsed/>
    <w:rsid w:val="0029639D"/>
    <w:pPr>
      <w:numPr>
        <w:numId w:val="6"/>
      </w:numPr>
      <w:contextualSpacing/>
    </w:pPr>
  </w:style>
  <w:style w:type="paragraph" w:styleId="LegacyHead1_ListNumber3">
    <w:name w:val="LegacyHead1_List Number 3"/>
    <w:basedOn w:val="LegacyHead1_Normal"/>
    <w:uiPriority w:val="99"/>
    <w:unhideWhenUsed/>
    <w:rsid w:val="0029639D"/>
    <w:pPr>
      <w:numPr>
        <w:numId w:val="7"/>
      </w:numPr>
      <w:contextualSpacing/>
    </w:pPr>
  </w:style>
  <w:style w:type="paragraph" w:styleId="LegacyHead1_ListContinue">
    <w:name w:val="LegacyHead1_List Continue"/>
    <w:basedOn w:val="LegacyHead1_Normal"/>
    <w:uiPriority w:val="99"/>
    <w:unhideWhenUsed/>
    <w:rsid w:val="0029639D"/>
    <w:pPr>
      <w:spacing w:after="120"/>
      <w:ind w:left="360"/>
      <w:contextualSpacing/>
    </w:pPr>
  </w:style>
  <w:style w:type="paragraph" w:styleId="LegacyHead1_ListContinue2">
    <w:name w:val="LegacyHead1_List Continue 2"/>
    <w:basedOn w:val="LegacyHead1_Normal"/>
    <w:uiPriority w:val="99"/>
    <w:unhideWhenUsed/>
    <w:rsid w:val="0029639D"/>
    <w:pPr>
      <w:spacing w:after="120"/>
      <w:ind w:left="720"/>
      <w:contextualSpacing/>
    </w:pPr>
  </w:style>
  <w:style w:type="paragraph" w:styleId="LegacyHead1_ListContinue3">
    <w:name w:val="LegacyHead1_List Continue 3"/>
    <w:basedOn w:val="LegacyHead1_Normal"/>
    <w:uiPriority w:val="99"/>
    <w:unhideWhenUsed/>
    <w:rsid w:val="0029639D"/>
    <w:pPr>
      <w:spacing w:after="120"/>
      <w:ind w:left="1080"/>
      <w:contextualSpacing/>
    </w:pPr>
  </w:style>
  <w:style w:type="paragraph" w:styleId="LegacyHead1_MacroText">
    <w:name w:val="LegacyHead1_macro"/>
    <w:link w:val="LegacyHead1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LegacyHead1_MacroTextChar">
    <w:name w:val="LegacyHead1_Macro Text Char"/>
    <w:basedOn w:val="LegacyHead1_DefaultParagraphFont"/>
    <w:link w:val="LegacyHead1_MacroText"/>
    <w:uiPriority w:val="99"/>
    <w:rsid w:val="0029639D"/>
    <w:rPr>
      <w:rFonts w:ascii="Courier" w:hAnsi="Courier"/>
      <w:sz w:val="20"/>
      <w:szCs w:val="20"/>
    </w:rPr>
  </w:style>
  <w:style w:type="paragraph" w:styleId="LegacyHead1_Quote">
    <w:name w:val="LegacyHead1_Quote"/>
    <w:basedOn w:val="LegacyHead1_Normal"/>
    <w:next w:val="LegacyHead1_Normal"/>
    <w:link w:val="LegacyHead1_QuoteChar"/>
    <w:uiPriority w:val="29"/>
    <w:qFormat/>
    <w:rsid w:val="00FC693F"/>
    <w:rPr>
      <w:i/>
      <w:iCs/>
      <w:color w:val="000000" w:themeColor="text1"/>
    </w:rPr>
  </w:style>
  <w:style w:type="character" w:customStyle="1" w:styleId="LegacyHead1_QuoteChar">
    <w:name w:val="LegacyHead1_Quote Char"/>
    <w:basedOn w:val="LegacyHead1_DefaultParagraphFont"/>
    <w:link w:val="LegacyHead1_Quote"/>
    <w:uiPriority w:val="29"/>
    <w:rsid w:val="00FC693F"/>
    <w:rPr>
      <w:i/>
      <w:iCs/>
      <w:color w:val="000000" w:themeColor="text1"/>
    </w:rPr>
  </w:style>
  <w:style w:type="character" w:customStyle="1" w:styleId="LegacyHead1_Heading4Char">
    <w:name w:val="LegacyHead1_Heading 4 Char"/>
    <w:basedOn w:val="LegacyHead1_DefaultParagraphFont"/>
    <w:link w:val="LegacyHead1_Heading4"/>
    <w:uiPriority w:val="9"/>
    <w:semiHidden/>
    <w:rsid w:val="00FC693F"/>
    <w:rPr>
      <w:rFonts w:asciiTheme="majorHAnsi" w:eastAsiaTheme="majorEastAsia" w:hAnsiTheme="majorHAnsi" w:cstheme="majorBidi"/>
      <w:b/>
      <w:bCs/>
      <w:i/>
      <w:iCs/>
      <w:color w:val="4F81BD" w:themeColor="accent1"/>
    </w:rPr>
  </w:style>
  <w:style w:type="character" w:customStyle="1" w:styleId="LegacyHead1_Heading5Char">
    <w:name w:val="LegacyHead1_Heading 5 Char"/>
    <w:basedOn w:val="LegacyHead1_DefaultParagraphFont"/>
    <w:link w:val="LegacyHead1_Heading5"/>
    <w:uiPriority w:val="9"/>
    <w:semiHidden/>
    <w:rsid w:val="00FC693F"/>
    <w:rPr>
      <w:rFonts w:asciiTheme="majorHAnsi" w:eastAsiaTheme="majorEastAsia" w:hAnsiTheme="majorHAnsi" w:cstheme="majorBidi"/>
      <w:color w:val="243F60" w:themeColor="accent1" w:themeShade="7F"/>
    </w:rPr>
  </w:style>
  <w:style w:type="character" w:customStyle="1" w:styleId="LegacyHead1_Heading6Char">
    <w:name w:val="LegacyHead1_Heading 6 Char"/>
    <w:basedOn w:val="LegacyHead1_DefaultParagraphFont"/>
    <w:link w:val="LegacyHead1_Heading6"/>
    <w:uiPriority w:val="9"/>
    <w:semiHidden/>
    <w:rsid w:val="00FC693F"/>
    <w:rPr>
      <w:rFonts w:asciiTheme="majorHAnsi" w:eastAsiaTheme="majorEastAsia" w:hAnsiTheme="majorHAnsi" w:cstheme="majorBidi"/>
      <w:i/>
      <w:iCs/>
      <w:color w:val="243F60" w:themeColor="accent1" w:themeShade="7F"/>
    </w:rPr>
  </w:style>
  <w:style w:type="character" w:customStyle="1" w:styleId="LegacyHead1_Heading7Char">
    <w:name w:val="LegacyHead1_Heading 7 Char"/>
    <w:basedOn w:val="LegacyHead1_DefaultParagraphFont"/>
    <w:link w:val="LegacyHead1_Heading7"/>
    <w:uiPriority w:val="9"/>
    <w:semiHidden/>
    <w:rsid w:val="00FC693F"/>
    <w:rPr>
      <w:rFonts w:asciiTheme="majorHAnsi" w:eastAsiaTheme="majorEastAsia" w:hAnsiTheme="majorHAnsi" w:cstheme="majorBidi"/>
      <w:i/>
      <w:iCs/>
      <w:color w:val="404040" w:themeColor="text1" w:themeTint="BF"/>
    </w:rPr>
  </w:style>
  <w:style w:type="character" w:customStyle="1" w:styleId="LegacyHead1_Heading8Char">
    <w:name w:val="LegacyHead1_Heading 8 Char"/>
    <w:basedOn w:val="LegacyHead1_DefaultParagraphFont"/>
    <w:link w:val="LegacyHead1_Heading8"/>
    <w:uiPriority w:val="9"/>
    <w:semiHidden/>
    <w:rsid w:val="00FC693F"/>
    <w:rPr>
      <w:rFonts w:asciiTheme="majorHAnsi" w:eastAsiaTheme="majorEastAsia" w:hAnsiTheme="majorHAnsi" w:cstheme="majorBidi"/>
      <w:color w:val="4F81BD" w:themeColor="accent1"/>
      <w:sz w:val="20"/>
      <w:szCs w:val="20"/>
    </w:rPr>
  </w:style>
  <w:style w:type="character" w:customStyle="1" w:styleId="LegacyHead1_Heading9Char">
    <w:name w:val="LegacyHead1_Heading 9 Char"/>
    <w:basedOn w:val="LegacyHead1_DefaultParagraphFont"/>
    <w:link w:val="LegacyHead1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LegacyHead1_Caption">
    <w:name w:val="LegacyHead1_caption"/>
    <w:basedOn w:val="LegacyHead1_Normal"/>
    <w:next w:val="LegacyHead1_Normal"/>
    <w:uiPriority w:val="35"/>
    <w:semiHidden/>
    <w:unhideWhenUsed/>
    <w:qFormat/>
    <w:rsid w:val="00FC693F"/>
    <w:pPr>
      <w:spacing w:line="240" w:lineRule="auto"/>
    </w:pPr>
    <w:rPr>
      <w:b/>
      <w:bCs/>
      <w:color w:val="4F81BD" w:themeColor="accent1"/>
      <w:sz w:val="18"/>
      <w:szCs w:val="18"/>
    </w:rPr>
  </w:style>
  <w:style w:type="character" w:styleId="LegacyHead1_Strong">
    <w:name w:val="LegacyHead1_Strong"/>
    <w:basedOn w:val="LegacyHead1_DefaultParagraphFont"/>
    <w:uiPriority w:val="22"/>
    <w:qFormat/>
    <w:rsid w:val="00FC693F"/>
    <w:rPr>
      <w:b/>
      <w:bCs/>
    </w:rPr>
  </w:style>
  <w:style w:type="character" w:styleId="LegacyHead1_Emphasis">
    <w:name w:val="LegacyHead1_Emphasis"/>
    <w:basedOn w:val="LegacyHead1_DefaultParagraphFont"/>
    <w:uiPriority w:val="20"/>
    <w:qFormat/>
    <w:rsid w:val="00FC693F"/>
    <w:rPr>
      <w:i/>
      <w:iCs/>
    </w:rPr>
  </w:style>
  <w:style w:type="paragraph" w:styleId="LegacyHead1_IntenseQuote">
    <w:name w:val="LegacyHead1_Intense Quote"/>
    <w:basedOn w:val="LegacyHead1_Normal"/>
    <w:next w:val="LegacyHead1_Normal"/>
    <w:link w:val="LegacyHead1_IntenseQuoteChar"/>
    <w:uiPriority w:val="30"/>
    <w:qFormat/>
    <w:rsid w:val="00FC693F"/>
    <w:pPr>
      <w:spacing w:before="200" w:after="280"/>
      <w:ind w:left="936" w:right="936"/>
    </w:pPr>
    <w:rPr>
      <w:b/>
      <w:bCs/>
      <w:i/>
      <w:iCs/>
      <w:color w:val="4F81BD" w:themeColor="accent1"/>
    </w:rPr>
  </w:style>
  <w:style w:type="character" w:customStyle="1" w:styleId="LegacyHead1_IntenseQuoteChar">
    <w:name w:val="LegacyHead1_Intense Quote Char"/>
    <w:basedOn w:val="LegacyHead1_DefaultParagraphFont"/>
    <w:link w:val="LegacyHead1_IntenseQuote"/>
    <w:uiPriority w:val="30"/>
    <w:rsid w:val="00FC693F"/>
    <w:rPr>
      <w:b/>
      <w:bCs/>
      <w:i/>
      <w:iCs/>
      <w:color w:val="4F81BD" w:themeColor="accent1"/>
    </w:rPr>
  </w:style>
  <w:style w:type="character" w:styleId="LegacyHead1_SubtleEmphasis">
    <w:name w:val="LegacyHead1_Subtle Emphasis"/>
    <w:basedOn w:val="LegacyHead1_DefaultParagraphFont"/>
    <w:uiPriority w:val="19"/>
    <w:qFormat/>
    <w:rsid w:val="00FC693F"/>
    <w:rPr>
      <w:i/>
      <w:iCs/>
      <w:color w:val="808080" w:themeColor="text1" w:themeTint="7F"/>
    </w:rPr>
  </w:style>
  <w:style w:type="character" w:styleId="LegacyHead1_IntenseEmphasis">
    <w:name w:val="LegacyHead1_Intense Emphasis"/>
    <w:basedOn w:val="LegacyHead1_DefaultParagraphFont"/>
    <w:uiPriority w:val="21"/>
    <w:qFormat/>
    <w:rsid w:val="00FC693F"/>
    <w:rPr>
      <w:b/>
      <w:bCs/>
      <w:i/>
      <w:iCs/>
      <w:color w:val="4F81BD" w:themeColor="accent1"/>
    </w:rPr>
  </w:style>
  <w:style w:type="character" w:styleId="LegacyHead1_SubtleReference">
    <w:name w:val="LegacyHead1_Subtle Reference"/>
    <w:basedOn w:val="LegacyHead1_DefaultParagraphFont"/>
    <w:uiPriority w:val="31"/>
    <w:qFormat/>
    <w:rsid w:val="00FC693F"/>
    <w:rPr>
      <w:smallCaps/>
      <w:color w:val="C0504D" w:themeColor="accent2"/>
      <w:u w:val="single"/>
    </w:rPr>
  </w:style>
  <w:style w:type="character" w:styleId="LegacyHead1_IntenseReference">
    <w:name w:val="LegacyHead1_Intense Reference"/>
    <w:basedOn w:val="LegacyHead1_DefaultParagraphFont"/>
    <w:uiPriority w:val="32"/>
    <w:qFormat/>
    <w:rsid w:val="00FC693F"/>
    <w:rPr>
      <w:b/>
      <w:bCs/>
      <w:smallCaps/>
      <w:color w:val="C0504D" w:themeColor="accent2"/>
      <w:spacing w:val="5"/>
      <w:u w:val="single"/>
    </w:rPr>
  </w:style>
  <w:style w:type="character" w:styleId="LegacyHead1_BookTitle">
    <w:name w:val="LegacyHead1_Book Title"/>
    <w:basedOn w:val="LegacyHead1_DefaultParagraphFont"/>
    <w:uiPriority w:val="33"/>
    <w:qFormat/>
    <w:rsid w:val="00FC693F"/>
    <w:rPr>
      <w:b/>
      <w:bCs/>
      <w:smallCaps/>
      <w:spacing w:val="5"/>
    </w:rPr>
  </w:style>
  <w:style w:type="paragraph" w:styleId="LegacyHead1_TOCHeading">
    <w:name w:val="LegacyHead1_TOC Heading"/>
    <w:basedOn w:val="LegacyHead1_Heading1"/>
    <w:next w:val="LegacyHead1_Normal"/>
    <w:uiPriority w:val="39"/>
    <w:semiHidden/>
    <w:unhideWhenUsed/>
    <w:qFormat/>
    <w:rsid w:val="00FC693F"/>
    <w:pPr>
      <w:outlineLvl w:val="9"/>
    </w:pPr>
  </w:style>
  <w:style w:type="table" w:styleId="LegacyHead1_TableGrid">
    <w:name w:val="LegacyHead1_Table Grid"/>
    <w:basedOn w:val="LegacyHead1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egacyHead1_LightShading">
    <w:name w:val="LegacyHead1_Light Shading"/>
    <w:basedOn w:val="LegacyHead1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egacyHead1_LightShading-Accent1">
    <w:name w:val="LegacyHead1_Light Shading Accent 1"/>
    <w:basedOn w:val="LegacyHead1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egacyHead1_LightShading-Accent2">
    <w:name w:val="LegacyHead1_Light Shading Accent 2"/>
    <w:basedOn w:val="LegacyHead1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egacyHead1_LightShading-Accent3">
    <w:name w:val="LegacyHead1_Light Shading Accent 3"/>
    <w:basedOn w:val="LegacyHead1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egacyHead1_LightShading-Accent4">
    <w:name w:val="LegacyHead1_Light Shading Accent 4"/>
    <w:basedOn w:val="LegacyHead1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egacyHead1_LightShading-Accent5">
    <w:name w:val="LegacyHead1_Light Shading Accent 5"/>
    <w:basedOn w:val="LegacyHead1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egacyHead1_LightShading-Accent6">
    <w:name w:val="LegacyHead1_Light Shading Accent 6"/>
    <w:basedOn w:val="LegacyHead1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egacyHead1_LightList">
    <w:name w:val="LegacyHead1_Light List"/>
    <w:basedOn w:val="LegacyHead1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egacyHead1_LightList-Accent1">
    <w:name w:val="LegacyHead1_Light List Accent 1"/>
    <w:basedOn w:val="LegacyHead1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egacyHead1_LightList-Accent2">
    <w:name w:val="LegacyHead1_Light List Accent 2"/>
    <w:basedOn w:val="LegacyHead1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egacyHead1_LightList-Accent3">
    <w:name w:val="LegacyHead1_Light List Accent 3"/>
    <w:basedOn w:val="LegacyHead1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egacyHead1_LightList-Accent4">
    <w:name w:val="LegacyHead1_Light List Accent 4"/>
    <w:basedOn w:val="LegacyHead1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egacyHead1_LightList-Accent5">
    <w:name w:val="LegacyHead1_Light List Accent 5"/>
    <w:basedOn w:val="LegacyHead1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egacyHead1_LightList-Accent6">
    <w:name w:val="LegacyHead1_Light List Accent 6"/>
    <w:basedOn w:val="LegacyHead1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egacyHead1_LightGrid">
    <w:name w:val="LegacyHead1_Light Grid"/>
    <w:basedOn w:val="LegacyHead1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egacyHead1_LightGrid-Accent1">
    <w:name w:val="LegacyHead1_Light Grid Accent 1"/>
    <w:basedOn w:val="LegacyHead1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egacyHead1_LightGrid-Accent2">
    <w:name w:val="LegacyHead1_Light Grid Accent 2"/>
    <w:basedOn w:val="LegacyHead1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egacyHead1_LightGrid-Accent3">
    <w:name w:val="LegacyHead1_Light Grid Accent 3"/>
    <w:basedOn w:val="LegacyHead1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egacyHead1_LightGrid-Accent4">
    <w:name w:val="LegacyHead1_Light Grid Accent 4"/>
    <w:basedOn w:val="LegacyHead1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egacyHead1_LightGrid-Accent5">
    <w:name w:val="LegacyHead1_Light Grid Accent 5"/>
    <w:basedOn w:val="LegacyHead1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egacyHead1_LightGrid-Accent6">
    <w:name w:val="LegacyHead1_Light Grid Accent 6"/>
    <w:basedOn w:val="LegacyHead1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egacyHead1_MediumShading1">
    <w:name w:val="LegacyHead1_Medium Shading 1"/>
    <w:basedOn w:val="LegacyHead1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egacyHead1_MediumShading1-Accent1">
    <w:name w:val="LegacyHead1_Medium Shading 1 Accent 1"/>
    <w:basedOn w:val="LegacyHead1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egacyHead1_MediumShading1-Accent2">
    <w:name w:val="LegacyHead1_Medium Shading 1 Accent 2"/>
    <w:basedOn w:val="LegacyHead1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egacyHead1_MediumShading1-Accent3">
    <w:name w:val="LegacyHead1_Medium Shading 1 Accent 3"/>
    <w:basedOn w:val="LegacyHead1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egacyHead1_MediumShading1-Accent4">
    <w:name w:val="LegacyHead1_Medium Shading 1 Accent 4"/>
    <w:basedOn w:val="LegacyHead1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egacyHead1_MediumShading1-Accent5">
    <w:name w:val="LegacyHead1_Medium Shading 1 Accent 5"/>
    <w:basedOn w:val="LegacyHead1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egacyHead1_MediumShading1-Accent6">
    <w:name w:val="LegacyHead1_Medium Shading 1 Accent 6"/>
    <w:basedOn w:val="LegacyHead1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egacyHead1_MediumShading2">
    <w:name w:val="LegacyHead1_Medium Shading 2"/>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Shading2-Accent1">
    <w:name w:val="LegacyHead1_Medium Shading 2 Accent 1"/>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Shading2-Accent2">
    <w:name w:val="LegacyHead1_Medium Shading 2 Accent 2"/>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Shading2-Accent3">
    <w:name w:val="LegacyHead1_Medium Shading 2 Accent 3"/>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Shading2-Accent4">
    <w:name w:val="LegacyHead1_Medium Shading 2 Accent 4"/>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Shading2-Accent5">
    <w:name w:val="LegacyHead1_Medium Shading 2 Accent 5"/>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Shading2-Accent6">
    <w:name w:val="LegacyHead1_Medium Shading 2 Accent 6"/>
    <w:basedOn w:val="LegacyHead1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1_MediumList1">
    <w:name w:val="LegacyHead1_Medium List 1"/>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egacyHead1_MediumList1-Accent1">
    <w:name w:val="LegacyHead1_Medium List 1 Accent 1"/>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egacyHead1_MediumList1-Accent2">
    <w:name w:val="LegacyHead1_Medium List 1 Accent 2"/>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egacyHead1_MediumList1-Accent3">
    <w:name w:val="LegacyHead1_Medium List 1 Accent 3"/>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egacyHead1_MediumList1-Accent4">
    <w:name w:val="LegacyHead1_Medium List 1 Accent 4"/>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egacyHead1_MediumList1-Accent5">
    <w:name w:val="LegacyHead1_Medium List 1 Accent 5"/>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egacyHead1_MediumList1-Accent6">
    <w:name w:val="LegacyHead1_Medium List 1 Accent 6"/>
    <w:basedOn w:val="LegacyHead1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egacyHead1_MediumList2">
    <w:name w:val="LegacyHead1_Medium List 2"/>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List2-Accent1">
    <w:name w:val="LegacyHead1_Medium List 2 Accent 1"/>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List2-Accent2">
    <w:name w:val="LegacyHead1_Medium List 2 Accent 2"/>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List2-Accent3">
    <w:name w:val="LegacyHead1_Medium List 2 Accent 3"/>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List2-Accent4">
    <w:name w:val="LegacyHead1_Medium List 2 Accent 4"/>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List2-Accent5">
    <w:name w:val="LegacyHead1_Medium List 2 Accent 5"/>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List2-Accent6">
    <w:name w:val="LegacyHead1_Medium List 2 Accent 6"/>
    <w:basedOn w:val="LegacyHead1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1_MediumGrid1">
    <w:name w:val="LegacyHead1_Medium Grid 1"/>
    <w:basedOn w:val="LegacyHead1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Head1_MediumGrid1-Accent1">
    <w:name w:val="LegacyHead1_Medium Grid 1 Accent 1"/>
    <w:basedOn w:val="LegacyHead1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Head1_MediumGrid1-Accent2">
    <w:name w:val="LegacyHead1_Medium Grid 1 Accent 2"/>
    <w:basedOn w:val="LegacyHead1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Head1_MediumGrid1-Accent3">
    <w:name w:val="LegacyHead1_Medium Grid 1 Accent 3"/>
    <w:basedOn w:val="LegacyHead1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Head1_MediumGrid1-Accent4">
    <w:name w:val="LegacyHead1_Medium Grid 1 Accent 4"/>
    <w:basedOn w:val="LegacyHead1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Head1_MediumGrid1-Accent5">
    <w:name w:val="LegacyHead1_Medium Grid 1 Accent 5"/>
    <w:basedOn w:val="LegacyHead1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Head1_MediumGrid1-Accent6">
    <w:name w:val="LegacyHead1_Medium Grid 1 Accent 6"/>
    <w:basedOn w:val="LegacyHead1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egacyHead1_MediumGrid2">
    <w:name w:val="LegacyHead1_Medium Grid 2"/>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egacyHead1_MediumGrid2-Accent1">
    <w:name w:val="LegacyHead1_Medium Grid 2 Accent 1"/>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egacyHead1_MediumGrid2-Accent2">
    <w:name w:val="LegacyHead1_Medium Grid 2 Accent 2"/>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egacyHead1_MediumGrid2-Accent3">
    <w:name w:val="LegacyHead1_Medium Grid 2 Accent 3"/>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egacyHead1_MediumGrid2-Accent4">
    <w:name w:val="LegacyHead1_Medium Grid 2 Accent 4"/>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egacyHead1_MediumGrid2-Accent5">
    <w:name w:val="LegacyHead1_Medium Grid 2 Accent 5"/>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egacyHead1_MediumGrid2-Accent6">
    <w:name w:val="LegacyHead1_Medium Grid 2 Accent 6"/>
    <w:basedOn w:val="LegacyHead1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egacyHead1_MediumGrid3">
    <w:name w:val="LegacyHead1_Medium Grid 3"/>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egacyHead1_MediumGrid3-Accent1">
    <w:name w:val="LegacyHead1_Medium Grid 3 Accent 1"/>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egacyHead1_MediumGrid3-Accent2">
    <w:name w:val="LegacyHead1_Medium Grid 3 Accent 2"/>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egacyHead1_MediumGrid3-Accent3">
    <w:name w:val="LegacyHead1_Medium Grid 3 Accent 3"/>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egacyHead1_MediumGrid3-Accent4">
    <w:name w:val="LegacyHead1_Medium Grid 3 Accent 4"/>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egacyHead1_MediumGrid3-Accent5">
    <w:name w:val="LegacyHead1_Medium Grid 3 Accent 5"/>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egacyHead1_MediumGrid3-Accent6">
    <w:name w:val="LegacyHead1_Medium Grid 3 Accent 6"/>
    <w:basedOn w:val="LegacyHead1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egacyHead1_DarkList">
    <w:name w:val="LegacyHead1_Dark List"/>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egacyHead1_DarkList-Accent1">
    <w:name w:val="LegacyHead1_Dark List Accent 1"/>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egacyHead1_DarkList-Accent2">
    <w:name w:val="LegacyHead1_Dark List Accent 2"/>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egacyHead1_DarkList-Accent3">
    <w:name w:val="LegacyHead1_Dark List Accent 3"/>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egacyHead1_DarkList-Accent4">
    <w:name w:val="LegacyHead1_Dark List Accent 4"/>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egacyHead1_DarkList-Accent5">
    <w:name w:val="LegacyHead1_Dark List Accent 5"/>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egacyHead1_DarkList-Accent6">
    <w:name w:val="LegacyHead1_Dark List Accent 6"/>
    <w:basedOn w:val="LegacyHead1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egacyHead1_ColorfulShading">
    <w:name w:val="LegacyHead1_Colorful Shading"/>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egacyHead1_ColorfulShading-Accent1">
    <w:name w:val="LegacyHead1_Colorful Shading Accent 1"/>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egacyHead1_ColorfulShading-Accent2">
    <w:name w:val="LegacyHead1_Colorful Shading Accent 2"/>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egacyHead1_ColorfulShading-Accent3">
    <w:name w:val="LegacyHead1_Colorful Shading Accent 3"/>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egacyHead1_ColorfulShading-Accent4">
    <w:name w:val="LegacyHead1_Colorful Shading Accent 4"/>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LegacyHead1_ColorfulShading-Accent5">
    <w:name w:val="LegacyHead1_Colorful Shading Accent 5"/>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egacyHead1_ColorfulShading-Accent6">
    <w:name w:val="LegacyHead1_Colorful Shading Accent 6"/>
    <w:basedOn w:val="LegacyHead1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egacyHead1_ColorfulList">
    <w:name w:val="LegacyHead1_Colorful List"/>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egacyHead1_ColorfulList-Accent1">
    <w:name w:val="LegacyHead1_Colorful List Accent 1"/>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egacyHead1_ColorfulList-Accent2">
    <w:name w:val="LegacyHead1_Colorful List Accent 2"/>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egacyHead1_ColorfulList-Accent3">
    <w:name w:val="LegacyHead1_Colorful List Accent 3"/>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egacyHead1_ColorfulList-Accent4">
    <w:name w:val="LegacyHead1_Colorful List Accent 4"/>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egacyHead1_ColorfulList-Accent5">
    <w:name w:val="LegacyHead1_Colorful List Accent 5"/>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egacyHead1_ColorfulList-Accent6">
    <w:name w:val="LegacyHead1_Colorful List Accent 6"/>
    <w:basedOn w:val="LegacyHead1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egacyHead1_ColorfulGrid">
    <w:name w:val="LegacyHead1_Colorful Grid"/>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Head1_ColorfulGrid-Accent1">
    <w:name w:val="LegacyHead1_Colorful Grid Accent 1"/>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Head1_ColorfulGrid-Accent2">
    <w:name w:val="LegacyHead1_Colorful Grid Accent 2"/>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Head1_ColorfulGrid-Accent3">
    <w:name w:val="LegacyHead1_Colorful Grid Accent 3"/>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Head1_ColorfulGrid-Accent4">
    <w:name w:val="LegacyHead1_Colorful Grid Accent 4"/>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Head1_ColorfulGrid-Accent5">
    <w:name w:val="LegacyHead1_Colorful Grid Accent 5"/>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Head1_ColorfulGrid-Accent6">
    <w:name w:val="LegacyHead1_Colorful Grid Accent 6"/>
    <w:basedOn w:val="LegacyHead1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Legacy2_Normal">
    <w:name w:val="Legacy2_Normal"/>
    <w:qFormat/>
    <w:rsid w:val="00FC693F"/>
    <w:pPr>
      <w:spacing w:after="120"/>
    </w:pPr>
    <w:rPr>
      <w:rFonts w:ascii="Calibri" w:hAnsi="Calibri"/>
      <w:color w:val="000000"/>
      <w:sz w:val="21"/>
    </w:rPr>
  </w:style>
  <w:style w:type="paragraph" w:styleId="Legacy2_Header">
    <w:name w:val="Legacy2_header"/>
    <w:basedOn w:val="Legacy2_Normal"/>
    <w:link w:val="Legacy2_HeaderChar"/>
    <w:uiPriority w:val="99"/>
    <w:unhideWhenUsed/>
    <w:rsid w:val="00E618BF"/>
    <w:pPr>
      <w:tabs>
        <w:tab w:val="center" w:pos="4680"/>
        <w:tab w:val="right" w:pos="9360"/>
      </w:tabs>
      <w:spacing w:after="0" w:line="240" w:lineRule="auto"/>
    </w:pPr>
  </w:style>
  <w:style w:type="character" w:customStyle="1" w:styleId="Legacy2_HeaderChar">
    <w:name w:val="Legacy2_Header Char"/>
    <w:basedOn w:val="Legacy2_DefaultParagraphFont"/>
    <w:link w:val="Legacy2_Header"/>
    <w:uiPriority w:val="99"/>
    <w:rsid w:val="00E618BF"/>
  </w:style>
  <w:style w:type="paragraph" w:styleId="Legacy2_Footer">
    <w:name w:val="Legacy2_footer"/>
    <w:basedOn w:val="Legacy2_Normal"/>
    <w:link w:val="Legacy2_FooterChar"/>
    <w:uiPriority w:val="99"/>
    <w:unhideWhenUsed/>
    <w:rsid w:val="00E618BF"/>
    <w:pPr>
      <w:tabs>
        <w:tab w:val="center" w:pos="4680"/>
        <w:tab w:val="right" w:pos="9360"/>
      </w:tabs>
      <w:spacing w:after="0" w:line="240" w:lineRule="auto"/>
    </w:pPr>
  </w:style>
  <w:style w:type="character" w:customStyle="1" w:styleId="Legacy2_FooterChar">
    <w:name w:val="Legacy2_Footer Char"/>
    <w:basedOn w:val="Legacy2_DefaultParagraphFont"/>
    <w:link w:val="Legacy2_Footer"/>
    <w:uiPriority w:val="99"/>
    <w:rsid w:val="00E618BF"/>
  </w:style>
  <w:style w:type="paragraph" w:styleId="Legacy2_Heading1">
    <w:name w:val="Legacy2_heading 1"/>
    <w:basedOn w:val="Legacy2_Normal"/>
    <w:next w:val="Legacy2_Normal"/>
    <w:link w:val="Legacy2_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8"/>
      <w:szCs w:val="28"/>
    </w:rPr>
  </w:style>
  <w:style w:type="paragraph" w:styleId="Legacy2_Heading2">
    <w:name w:val="Legacy2_heading 2"/>
    <w:basedOn w:val="Legacy2_Normal"/>
    <w:next w:val="Legacy2_Normal"/>
    <w:link w:val="Legacy2_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Legacy2_Heading3">
    <w:name w:val="Legacy2_heading 3"/>
    <w:basedOn w:val="Legacy2_Normal"/>
    <w:next w:val="Legacy2_Normal"/>
    <w:link w:val="Legacy2_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Legacy2_Heading4">
    <w:name w:val="Legacy2_heading 4"/>
    <w:basedOn w:val="Legacy2_Normal"/>
    <w:next w:val="Legacy2_Normal"/>
    <w:link w:val="Legacy2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Legacy2_Heading5">
    <w:name w:val="Legacy2_heading 5"/>
    <w:basedOn w:val="Legacy2_Normal"/>
    <w:next w:val="Legacy2_Normal"/>
    <w:link w:val="Legacy2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Legacy2_Heading6">
    <w:name w:val="Legacy2_heading 6"/>
    <w:basedOn w:val="Legacy2_Normal"/>
    <w:next w:val="Legacy2_Normal"/>
    <w:link w:val="Legacy2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Legacy2_Heading7">
    <w:name w:val="Legacy2_heading 7"/>
    <w:basedOn w:val="Legacy2_Normal"/>
    <w:next w:val="Legacy2_Normal"/>
    <w:link w:val="Legacy2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Legacy2_Heading8">
    <w:name w:val="Legacy2_heading 8"/>
    <w:basedOn w:val="Legacy2_Normal"/>
    <w:next w:val="Legacy2_Normal"/>
    <w:link w:val="Legacy2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Legacy2_Heading9">
    <w:name w:val="Legacy2_heading 9"/>
    <w:basedOn w:val="Legacy2_Normal"/>
    <w:next w:val="Legacy2_Normal"/>
    <w:link w:val="Legacy2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egacy2_DefaultParagraphFont">
    <w:name w:val="Legacy2_Default Paragraph Font"/>
    <w:uiPriority w:val="1"/>
    <w:semiHidden/>
    <w:unhideWhenUsed/>
  </w:style>
  <w:style w:type="table" w:default="1" w:styleId="Legacy2_TableNormal">
    <w:name w:val="Legacy2_Normal Table"/>
    <w:uiPriority w:val="99"/>
    <w:semiHidden/>
    <w:unhideWhenUsed/>
    <w:tblPr>
      <w:tblInd w:w="0" w:type="dxa"/>
      <w:tblCellMar>
        <w:top w:w="0" w:type="dxa"/>
        <w:left w:w="108" w:type="dxa"/>
        <w:bottom w:w="0" w:type="dxa"/>
        <w:right w:w="108" w:type="dxa"/>
      </w:tblCellMar>
    </w:tblPr>
  </w:style>
  <w:style w:type="numbering" w:default="1" w:styleId="Legacy2_NoList">
    <w:name w:val="Legacy2_No List"/>
    <w:uiPriority w:val="99"/>
    <w:semiHidden/>
    <w:unhideWhenUsed/>
  </w:style>
  <w:style w:type="paragraph" w:styleId="Legacy2_NoSpacing">
    <w:name w:val="Legacy2_No Spacing"/>
    <w:uiPriority w:val="1"/>
    <w:qFormat/>
    <w:rsid w:val="00FC693F"/>
    <w:pPr>
      <w:spacing w:after="0" w:line="240" w:lineRule="auto"/>
    </w:pPr>
  </w:style>
  <w:style w:type="character" w:customStyle="1" w:styleId="Legacy2_Heading1Char">
    <w:name w:val="Legacy2_Heading 1 Char"/>
    <w:basedOn w:val="Legacy2_DefaultParagraphFont"/>
    <w:link w:val="Legacy2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Legacy2_Heading2Char">
    <w:name w:val="Legacy2_Heading 2 Char"/>
    <w:basedOn w:val="Legacy2_DefaultParagraphFont"/>
    <w:link w:val="Legacy2_Heading2"/>
    <w:uiPriority w:val="9"/>
    <w:rsid w:val="00FC693F"/>
    <w:rPr>
      <w:rFonts w:asciiTheme="majorHAnsi" w:eastAsiaTheme="majorEastAsia" w:hAnsiTheme="majorHAnsi" w:cstheme="majorBidi"/>
      <w:b/>
      <w:bCs/>
      <w:color w:val="4F81BD" w:themeColor="accent1"/>
      <w:sz w:val="26"/>
      <w:szCs w:val="26"/>
    </w:rPr>
  </w:style>
  <w:style w:type="character" w:customStyle="1" w:styleId="Legacy2_Heading3Char">
    <w:name w:val="Legacy2_Heading 3 Char"/>
    <w:basedOn w:val="Legacy2_DefaultParagraphFont"/>
    <w:link w:val="Legacy2_Heading3"/>
    <w:uiPriority w:val="9"/>
    <w:rsid w:val="00FC693F"/>
    <w:rPr>
      <w:rFonts w:asciiTheme="majorHAnsi" w:eastAsiaTheme="majorEastAsia" w:hAnsiTheme="majorHAnsi" w:cstheme="majorBidi"/>
      <w:b/>
      <w:bCs/>
      <w:color w:val="4F81BD" w:themeColor="accent1"/>
    </w:rPr>
  </w:style>
  <w:style w:type="paragraph" w:styleId="Legacy2_Title">
    <w:name w:val="Legacy2_Title"/>
    <w:basedOn w:val="Legacy2_Normal"/>
    <w:next w:val="Legacy2_Normal"/>
    <w:link w:val="Legacy2_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Legacy2_TitleChar">
    <w:name w:val="Legacy2_Title Char"/>
    <w:basedOn w:val="Legacy2_DefaultParagraphFont"/>
    <w:link w:val="Legacy2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egacy2_Subtitle">
    <w:name w:val="Legacy2_Subtitle"/>
    <w:basedOn w:val="Legacy2_Normal"/>
    <w:next w:val="Legacy2_Normal"/>
    <w:link w:val="Legacy2_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Legacy2_SubtitleChar">
    <w:name w:val="Legacy2_Subtitle Char"/>
    <w:basedOn w:val="Legacy2_DefaultParagraphFont"/>
    <w:link w:val="Legacy2_Subtitle"/>
    <w:uiPriority w:val="11"/>
    <w:rsid w:val="00FC693F"/>
    <w:rPr>
      <w:rFonts w:asciiTheme="majorHAnsi" w:eastAsiaTheme="majorEastAsia" w:hAnsiTheme="majorHAnsi" w:cstheme="majorBidi"/>
      <w:i/>
      <w:iCs/>
      <w:color w:val="4F81BD" w:themeColor="accent1"/>
      <w:spacing w:val="15"/>
      <w:sz w:val="24"/>
      <w:szCs w:val="24"/>
    </w:rPr>
  </w:style>
  <w:style w:type="paragraph" w:styleId="Legacy2_ListParagraph">
    <w:name w:val="Legacy2_List Paragraph"/>
    <w:basedOn w:val="Legacy2_Normal"/>
    <w:uiPriority w:val="34"/>
    <w:qFormat/>
    <w:rsid w:val="00FC693F"/>
    <w:pPr>
      <w:ind w:left="720"/>
      <w:contextualSpacing/>
    </w:pPr>
  </w:style>
  <w:style w:type="paragraph" w:styleId="Legacy2_BodyText">
    <w:name w:val="Legacy2_Body Text"/>
    <w:basedOn w:val="Legacy2_Normal"/>
    <w:link w:val="Legacy2_BodyTextChar"/>
    <w:uiPriority w:val="99"/>
    <w:unhideWhenUsed/>
    <w:rsid w:val="00AA1D8D"/>
    <w:pPr>
      <w:spacing w:after="120"/>
    </w:pPr>
  </w:style>
  <w:style w:type="character" w:customStyle="1" w:styleId="Legacy2_BodyTextChar">
    <w:name w:val="Legacy2_Body Text Char"/>
    <w:basedOn w:val="Legacy2_DefaultParagraphFont"/>
    <w:link w:val="Legacy2_BodyText"/>
    <w:uiPriority w:val="99"/>
    <w:rsid w:val="00AA1D8D"/>
  </w:style>
  <w:style w:type="paragraph" w:styleId="Legacy2_BodyText2">
    <w:name w:val="Legacy2_Body Text 2"/>
    <w:basedOn w:val="Legacy2_Normal"/>
    <w:link w:val="Legacy2_BodyText2Char"/>
    <w:uiPriority w:val="99"/>
    <w:unhideWhenUsed/>
    <w:rsid w:val="00AA1D8D"/>
    <w:pPr>
      <w:spacing w:after="120" w:line="480" w:lineRule="auto"/>
    </w:pPr>
  </w:style>
  <w:style w:type="character" w:customStyle="1" w:styleId="Legacy2_BodyText2Char">
    <w:name w:val="Legacy2_Body Text 2 Char"/>
    <w:basedOn w:val="Legacy2_DefaultParagraphFont"/>
    <w:link w:val="Legacy2_BodyText2"/>
    <w:uiPriority w:val="99"/>
    <w:rsid w:val="00AA1D8D"/>
  </w:style>
  <w:style w:type="paragraph" w:styleId="Legacy2_BodyText3">
    <w:name w:val="Legacy2_Body Text 3"/>
    <w:basedOn w:val="Legacy2_Normal"/>
    <w:link w:val="Legacy2_BodyText3Char"/>
    <w:uiPriority w:val="99"/>
    <w:unhideWhenUsed/>
    <w:rsid w:val="00AA1D8D"/>
    <w:pPr>
      <w:spacing w:after="120"/>
    </w:pPr>
    <w:rPr>
      <w:sz w:val="16"/>
      <w:szCs w:val="16"/>
    </w:rPr>
  </w:style>
  <w:style w:type="character" w:customStyle="1" w:styleId="Legacy2_BodyText3Char">
    <w:name w:val="Legacy2_Body Text 3 Char"/>
    <w:basedOn w:val="Legacy2_DefaultParagraphFont"/>
    <w:link w:val="Legacy2_BodyText3"/>
    <w:uiPriority w:val="99"/>
    <w:rsid w:val="00AA1D8D"/>
    <w:rPr>
      <w:sz w:val="16"/>
      <w:szCs w:val="16"/>
    </w:rPr>
  </w:style>
  <w:style w:type="paragraph" w:styleId="Legacy2_List">
    <w:name w:val="Legacy2_List"/>
    <w:basedOn w:val="Legacy2_Normal"/>
    <w:uiPriority w:val="99"/>
    <w:unhideWhenUsed/>
    <w:rsid w:val="00AA1D8D"/>
    <w:pPr>
      <w:ind w:left="360" w:hanging="360"/>
      <w:contextualSpacing/>
    </w:pPr>
  </w:style>
  <w:style w:type="paragraph" w:styleId="Legacy2_List2">
    <w:name w:val="Legacy2_List 2"/>
    <w:basedOn w:val="Legacy2_Normal"/>
    <w:uiPriority w:val="99"/>
    <w:unhideWhenUsed/>
    <w:rsid w:val="00326F90"/>
    <w:pPr>
      <w:ind w:left="720" w:hanging="360"/>
      <w:contextualSpacing/>
    </w:pPr>
  </w:style>
  <w:style w:type="paragraph" w:styleId="Legacy2_List3">
    <w:name w:val="Legacy2_List 3"/>
    <w:basedOn w:val="Legacy2_Normal"/>
    <w:uiPriority w:val="99"/>
    <w:unhideWhenUsed/>
    <w:rsid w:val="00326F90"/>
    <w:pPr>
      <w:ind w:left="1080" w:hanging="360"/>
      <w:contextualSpacing/>
    </w:pPr>
  </w:style>
  <w:style w:type="paragraph" w:styleId="Legacy2_ListBullet">
    <w:name w:val="Legacy2_List Bullet"/>
    <w:basedOn w:val="Legacy2_Normal"/>
    <w:uiPriority w:val="99"/>
    <w:unhideWhenUsed/>
    <w:rsid w:val="00326F90"/>
    <w:pPr>
      <w:numPr>
        <w:numId w:val="1"/>
      </w:numPr>
      <w:contextualSpacing/>
    </w:pPr>
  </w:style>
  <w:style w:type="paragraph" w:styleId="Legacy2_ListBullet2">
    <w:name w:val="Legacy2_List Bullet 2"/>
    <w:basedOn w:val="Legacy2_Normal"/>
    <w:uiPriority w:val="99"/>
    <w:unhideWhenUsed/>
    <w:rsid w:val="00326F90"/>
    <w:pPr>
      <w:numPr>
        <w:numId w:val="2"/>
      </w:numPr>
      <w:contextualSpacing/>
    </w:pPr>
  </w:style>
  <w:style w:type="paragraph" w:styleId="Legacy2_ListBullet3">
    <w:name w:val="Legacy2_List Bullet 3"/>
    <w:basedOn w:val="Legacy2_Normal"/>
    <w:uiPriority w:val="99"/>
    <w:unhideWhenUsed/>
    <w:rsid w:val="00326F90"/>
    <w:pPr>
      <w:numPr>
        <w:numId w:val="3"/>
      </w:numPr>
      <w:contextualSpacing/>
    </w:pPr>
  </w:style>
  <w:style w:type="paragraph" w:styleId="Legacy2_ListNumber">
    <w:name w:val="Legacy2_List Number"/>
    <w:basedOn w:val="Legacy2_Normal"/>
    <w:uiPriority w:val="99"/>
    <w:unhideWhenUsed/>
    <w:rsid w:val="00326F90"/>
    <w:pPr>
      <w:numPr>
        <w:numId w:val="5"/>
      </w:numPr>
      <w:contextualSpacing/>
    </w:pPr>
  </w:style>
  <w:style w:type="paragraph" w:styleId="Legacy2_ListNumber2">
    <w:name w:val="Legacy2_List Number 2"/>
    <w:basedOn w:val="Legacy2_Normal"/>
    <w:uiPriority w:val="99"/>
    <w:unhideWhenUsed/>
    <w:rsid w:val="0029639D"/>
    <w:pPr>
      <w:numPr>
        <w:numId w:val="6"/>
      </w:numPr>
      <w:contextualSpacing/>
    </w:pPr>
  </w:style>
  <w:style w:type="paragraph" w:styleId="Legacy2_ListNumber3">
    <w:name w:val="Legacy2_List Number 3"/>
    <w:basedOn w:val="Legacy2_Normal"/>
    <w:uiPriority w:val="99"/>
    <w:unhideWhenUsed/>
    <w:rsid w:val="0029639D"/>
    <w:pPr>
      <w:numPr>
        <w:numId w:val="7"/>
      </w:numPr>
      <w:contextualSpacing/>
    </w:pPr>
  </w:style>
  <w:style w:type="paragraph" w:styleId="Legacy2_ListContinue">
    <w:name w:val="Legacy2_List Continue"/>
    <w:basedOn w:val="Legacy2_Normal"/>
    <w:uiPriority w:val="99"/>
    <w:unhideWhenUsed/>
    <w:rsid w:val="0029639D"/>
    <w:pPr>
      <w:spacing w:after="120"/>
      <w:ind w:left="360"/>
      <w:contextualSpacing/>
    </w:pPr>
  </w:style>
  <w:style w:type="paragraph" w:styleId="Legacy2_ListContinue2">
    <w:name w:val="Legacy2_List Continue 2"/>
    <w:basedOn w:val="Legacy2_Normal"/>
    <w:uiPriority w:val="99"/>
    <w:unhideWhenUsed/>
    <w:rsid w:val="0029639D"/>
    <w:pPr>
      <w:spacing w:after="120"/>
      <w:ind w:left="720"/>
      <w:contextualSpacing/>
    </w:pPr>
  </w:style>
  <w:style w:type="paragraph" w:styleId="Legacy2_ListContinue3">
    <w:name w:val="Legacy2_List Continue 3"/>
    <w:basedOn w:val="Legacy2_Normal"/>
    <w:uiPriority w:val="99"/>
    <w:unhideWhenUsed/>
    <w:rsid w:val="0029639D"/>
    <w:pPr>
      <w:spacing w:after="120"/>
      <w:ind w:left="1080"/>
      <w:contextualSpacing/>
    </w:pPr>
  </w:style>
  <w:style w:type="paragraph" w:styleId="Legacy2_MacroText">
    <w:name w:val="Legacy2_macro"/>
    <w:link w:val="Legacy2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Legacy2_MacroTextChar">
    <w:name w:val="Legacy2_Macro Text Char"/>
    <w:basedOn w:val="Legacy2_DefaultParagraphFont"/>
    <w:link w:val="Legacy2_MacroText"/>
    <w:uiPriority w:val="99"/>
    <w:rsid w:val="0029639D"/>
    <w:rPr>
      <w:rFonts w:ascii="Courier" w:hAnsi="Courier"/>
      <w:sz w:val="20"/>
      <w:szCs w:val="20"/>
    </w:rPr>
  </w:style>
  <w:style w:type="paragraph" w:styleId="Legacy2_Quote">
    <w:name w:val="Legacy2_Quote"/>
    <w:basedOn w:val="Legacy2_Normal"/>
    <w:next w:val="Legacy2_Normal"/>
    <w:link w:val="Legacy2_QuoteChar"/>
    <w:uiPriority w:val="29"/>
    <w:qFormat/>
    <w:rsid w:val="00FC693F"/>
    <w:rPr>
      <w:i/>
      <w:iCs/>
      <w:color w:val="000000" w:themeColor="text1"/>
    </w:rPr>
  </w:style>
  <w:style w:type="character" w:customStyle="1" w:styleId="Legacy2_QuoteChar">
    <w:name w:val="Legacy2_Quote Char"/>
    <w:basedOn w:val="Legacy2_DefaultParagraphFont"/>
    <w:link w:val="Legacy2_Quote"/>
    <w:uiPriority w:val="29"/>
    <w:rsid w:val="00FC693F"/>
    <w:rPr>
      <w:i/>
      <w:iCs/>
      <w:color w:val="000000" w:themeColor="text1"/>
    </w:rPr>
  </w:style>
  <w:style w:type="character" w:customStyle="1" w:styleId="Legacy2_Heading4Char">
    <w:name w:val="Legacy2_Heading 4 Char"/>
    <w:basedOn w:val="Legacy2_DefaultParagraphFont"/>
    <w:link w:val="Legacy2_Heading4"/>
    <w:uiPriority w:val="9"/>
    <w:semiHidden/>
    <w:rsid w:val="00FC693F"/>
    <w:rPr>
      <w:rFonts w:asciiTheme="majorHAnsi" w:eastAsiaTheme="majorEastAsia" w:hAnsiTheme="majorHAnsi" w:cstheme="majorBidi"/>
      <w:b/>
      <w:bCs/>
      <w:i/>
      <w:iCs/>
      <w:color w:val="4F81BD" w:themeColor="accent1"/>
    </w:rPr>
  </w:style>
  <w:style w:type="character" w:customStyle="1" w:styleId="Legacy2_Heading5Char">
    <w:name w:val="Legacy2_Heading 5 Char"/>
    <w:basedOn w:val="Legacy2_DefaultParagraphFont"/>
    <w:link w:val="Legacy2_Heading5"/>
    <w:uiPriority w:val="9"/>
    <w:semiHidden/>
    <w:rsid w:val="00FC693F"/>
    <w:rPr>
      <w:rFonts w:asciiTheme="majorHAnsi" w:eastAsiaTheme="majorEastAsia" w:hAnsiTheme="majorHAnsi" w:cstheme="majorBidi"/>
      <w:color w:val="243F60" w:themeColor="accent1" w:themeShade="7F"/>
    </w:rPr>
  </w:style>
  <w:style w:type="character" w:customStyle="1" w:styleId="Legacy2_Heading6Char">
    <w:name w:val="Legacy2_Heading 6 Char"/>
    <w:basedOn w:val="Legacy2_DefaultParagraphFont"/>
    <w:link w:val="Legacy2_Heading6"/>
    <w:uiPriority w:val="9"/>
    <w:semiHidden/>
    <w:rsid w:val="00FC693F"/>
    <w:rPr>
      <w:rFonts w:asciiTheme="majorHAnsi" w:eastAsiaTheme="majorEastAsia" w:hAnsiTheme="majorHAnsi" w:cstheme="majorBidi"/>
      <w:i/>
      <w:iCs/>
      <w:color w:val="243F60" w:themeColor="accent1" w:themeShade="7F"/>
    </w:rPr>
  </w:style>
  <w:style w:type="character" w:customStyle="1" w:styleId="Legacy2_Heading7Char">
    <w:name w:val="Legacy2_Heading 7 Char"/>
    <w:basedOn w:val="Legacy2_DefaultParagraphFont"/>
    <w:link w:val="Legacy2_Heading7"/>
    <w:uiPriority w:val="9"/>
    <w:semiHidden/>
    <w:rsid w:val="00FC693F"/>
    <w:rPr>
      <w:rFonts w:asciiTheme="majorHAnsi" w:eastAsiaTheme="majorEastAsia" w:hAnsiTheme="majorHAnsi" w:cstheme="majorBidi"/>
      <w:i/>
      <w:iCs/>
      <w:color w:val="404040" w:themeColor="text1" w:themeTint="BF"/>
    </w:rPr>
  </w:style>
  <w:style w:type="character" w:customStyle="1" w:styleId="Legacy2_Heading8Char">
    <w:name w:val="Legacy2_Heading 8 Char"/>
    <w:basedOn w:val="Legacy2_DefaultParagraphFont"/>
    <w:link w:val="Legacy2_Heading8"/>
    <w:uiPriority w:val="9"/>
    <w:semiHidden/>
    <w:rsid w:val="00FC693F"/>
    <w:rPr>
      <w:rFonts w:asciiTheme="majorHAnsi" w:eastAsiaTheme="majorEastAsia" w:hAnsiTheme="majorHAnsi" w:cstheme="majorBidi"/>
      <w:color w:val="4F81BD" w:themeColor="accent1"/>
      <w:sz w:val="20"/>
      <w:szCs w:val="20"/>
    </w:rPr>
  </w:style>
  <w:style w:type="character" w:customStyle="1" w:styleId="Legacy2_Heading9Char">
    <w:name w:val="Legacy2_Heading 9 Char"/>
    <w:basedOn w:val="Legacy2_DefaultParagraphFont"/>
    <w:link w:val="Legacy2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Legacy2_Caption">
    <w:name w:val="Legacy2_caption"/>
    <w:basedOn w:val="Legacy2_Normal"/>
    <w:next w:val="Legacy2_Normal"/>
    <w:uiPriority w:val="35"/>
    <w:semiHidden/>
    <w:unhideWhenUsed/>
    <w:qFormat/>
    <w:rsid w:val="00FC693F"/>
    <w:pPr>
      <w:spacing w:line="240" w:lineRule="auto"/>
    </w:pPr>
    <w:rPr>
      <w:b/>
      <w:bCs/>
      <w:color w:val="4F81BD" w:themeColor="accent1"/>
      <w:sz w:val="18"/>
      <w:szCs w:val="18"/>
    </w:rPr>
  </w:style>
  <w:style w:type="character" w:styleId="Legacy2_Strong">
    <w:name w:val="Legacy2_Strong"/>
    <w:basedOn w:val="Legacy2_DefaultParagraphFont"/>
    <w:uiPriority w:val="22"/>
    <w:qFormat/>
    <w:rsid w:val="00FC693F"/>
    <w:rPr>
      <w:b/>
      <w:bCs/>
    </w:rPr>
  </w:style>
  <w:style w:type="character" w:styleId="Legacy2_Emphasis">
    <w:name w:val="Legacy2_Emphasis"/>
    <w:basedOn w:val="Legacy2_DefaultParagraphFont"/>
    <w:uiPriority w:val="20"/>
    <w:qFormat/>
    <w:rsid w:val="00FC693F"/>
    <w:rPr>
      <w:i/>
      <w:iCs/>
    </w:rPr>
  </w:style>
  <w:style w:type="paragraph" w:styleId="Legacy2_IntenseQuote">
    <w:name w:val="Legacy2_Intense Quote"/>
    <w:basedOn w:val="Legacy2_Normal"/>
    <w:next w:val="Legacy2_Normal"/>
    <w:link w:val="Legacy2_IntenseQuoteChar"/>
    <w:uiPriority w:val="30"/>
    <w:qFormat/>
    <w:rsid w:val="00FC693F"/>
    <w:pPr>
      <w:spacing w:before="200" w:after="280"/>
      <w:ind w:left="936" w:right="936"/>
    </w:pPr>
    <w:rPr>
      <w:b/>
      <w:bCs/>
      <w:i/>
      <w:iCs/>
      <w:color w:val="4F81BD" w:themeColor="accent1"/>
    </w:rPr>
  </w:style>
  <w:style w:type="character" w:customStyle="1" w:styleId="Legacy2_IntenseQuoteChar">
    <w:name w:val="Legacy2_Intense Quote Char"/>
    <w:basedOn w:val="Legacy2_DefaultParagraphFont"/>
    <w:link w:val="Legacy2_IntenseQuote"/>
    <w:uiPriority w:val="30"/>
    <w:rsid w:val="00FC693F"/>
    <w:rPr>
      <w:b/>
      <w:bCs/>
      <w:i/>
      <w:iCs/>
      <w:color w:val="4F81BD" w:themeColor="accent1"/>
    </w:rPr>
  </w:style>
  <w:style w:type="character" w:styleId="Legacy2_SubtleEmphasis">
    <w:name w:val="Legacy2_Subtle Emphasis"/>
    <w:basedOn w:val="Legacy2_DefaultParagraphFont"/>
    <w:uiPriority w:val="19"/>
    <w:qFormat/>
    <w:rsid w:val="00FC693F"/>
    <w:rPr>
      <w:i/>
      <w:iCs/>
      <w:color w:val="808080" w:themeColor="text1" w:themeTint="7F"/>
    </w:rPr>
  </w:style>
  <w:style w:type="character" w:styleId="Legacy2_IntenseEmphasis">
    <w:name w:val="Legacy2_Intense Emphasis"/>
    <w:basedOn w:val="Legacy2_DefaultParagraphFont"/>
    <w:uiPriority w:val="21"/>
    <w:qFormat/>
    <w:rsid w:val="00FC693F"/>
    <w:rPr>
      <w:b/>
      <w:bCs/>
      <w:i/>
      <w:iCs/>
      <w:color w:val="4F81BD" w:themeColor="accent1"/>
    </w:rPr>
  </w:style>
  <w:style w:type="character" w:styleId="Legacy2_SubtleReference">
    <w:name w:val="Legacy2_Subtle Reference"/>
    <w:basedOn w:val="Legacy2_DefaultParagraphFont"/>
    <w:uiPriority w:val="31"/>
    <w:qFormat/>
    <w:rsid w:val="00FC693F"/>
    <w:rPr>
      <w:smallCaps/>
      <w:color w:val="C0504D" w:themeColor="accent2"/>
      <w:u w:val="single"/>
    </w:rPr>
  </w:style>
  <w:style w:type="character" w:styleId="Legacy2_IntenseReference">
    <w:name w:val="Legacy2_Intense Reference"/>
    <w:basedOn w:val="Legacy2_DefaultParagraphFont"/>
    <w:uiPriority w:val="32"/>
    <w:qFormat/>
    <w:rsid w:val="00FC693F"/>
    <w:rPr>
      <w:b/>
      <w:bCs/>
      <w:smallCaps/>
      <w:color w:val="C0504D" w:themeColor="accent2"/>
      <w:spacing w:val="5"/>
      <w:u w:val="single"/>
    </w:rPr>
  </w:style>
  <w:style w:type="character" w:styleId="Legacy2_BookTitle">
    <w:name w:val="Legacy2_Book Title"/>
    <w:basedOn w:val="Legacy2_DefaultParagraphFont"/>
    <w:uiPriority w:val="33"/>
    <w:qFormat/>
    <w:rsid w:val="00FC693F"/>
    <w:rPr>
      <w:b/>
      <w:bCs/>
      <w:smallCaps/>
      <w:spacing w:val="5"/>
    </w:rPr>
  </w:style>
  <w:style w:type="paragraph" w:styleId="Legacy2_TOCHeading">
    <w:name w:val="Legacy2_TOC Heading"/>
    <w:basedOn w:val="Legacy2_Heading1"/>
    <w:next w:val="Legacy2_Normal"/>
    <w:uiPriority w:val="39"/>
    <w:semiHidden/>
    <w:unhideWhenUsed/>
    <w:qFormat/>
    <w:rsid w:val="00FC693F"/>
    <w:pPr>
      <w:outlineLvl w:val="9"/>
    </w:pPr>
  </w:style>
  <w:style w:type="table" w:styleId="Legacy2_TableGrid">
    <w:name w:val="Legacy2_Table Grid"/>
    <w:basedOn w:val="Legacy2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egacy2_LightShading">
    <w:name w:val="Legacy2_Light Shading"/>
    <w:basedOn w:val="Legacy2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egacy2_LightShading-Accent1">
    <w:name w:val="Legacy2_Light Shading Accent 1"/>
    <w:basedOn w:val="Legacy2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egacy2_LightShading-Accent2">
    <w:name w:val="Legacy2_Light Shading Accent 2"/>
    <w:basedOn w:val="Legacy2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egacy2_LightShading-Accent3">
    <w:name w:val="Legacy2_Light Shading Accent 3"/>
    <w:basedOn w:val="Legacy2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egacy2_LightShading-Accent4">
    <w:name w:val="Legacy2_Light Shading Accent 4"/>
    <w:basedOn w:val="Legacy2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egacy2_LightShading-Accent5">
    <w:name w:val="Legacy2_Light Shading Accent 5"/>
    <w:basedOn w:val="Legacy2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egacy2_LightShading-Accent6">
    <w:name w:val="Legacy2_Light Shading Accent 6"/>
    <w:basedOn w:val="Legacy2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egacy2_LightList">
    <w:name w:val="Legacy2_Light List"/>
    <w:basedOn w:val="Legacy2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egacy2_LightList-Accent1">
    <w:name w:val="Legacy2_Light List Accent 1"/>
    <w:basedOn w:val="Legacy2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egacy2_LightList-Accent2">
    <w:name w:val="Legacy2_Light List Accent 2"/>
    <w:basedOn w:val="Legacy2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egacy2_LightList-Accent3">
    <w:name w:val="Legacy2_Light List Accent 3"/>
    <w:basedOn w:val="Legacy2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egacy2_LightList-Accent4">
    <w:name w:val="Legacy2_Light List Accent 4"/>
    <w:basedOn w:val="Legacy2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egacy2_LightList-Accent5">
    <w:name w:val="Legacy2_Light List Accent 5"/>
    <w:basedOn w:val="Legacy2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egacy2_LightList-Accent6">
    <w:name w:val="Legacy2_Light List Accent 6"/>
    <w:basedOn w:val="Legacy2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egacy2_LightGrid">
    <w:name w:val="Legacy2_Light Grid"/>
    <w:basedOn w:val="Legacy2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egacy2_LightGrid-Accent1">
    <w:name w:val="Legacy2_Light Grid Accent 1"/>
    <w:basedOn w:val="Legacy2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egacy2_LightGrid-Accent2">
    <w:name w:val="Legacy2_Light Grid Accent 2"/>
    <w:basedOn w:val="Legacy2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egacy2_LightGrid-Accent3">
    <w:name w:val="Legacy2_Light Grid Accent 3"/>
    <w:basedOn w:val="Legacy2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egacy2_LightGrid-Accent4">
    <w:name w:val="Legacy2_Light Grid Accent 4"/>
    <w:basedOn w:val="Legacy2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egacy2_LightGrid-Accent5">
    <w:name w:val="Legacy2_Light Grid Accent 5"/>
    <w:basedOn w:val="Legacy2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egacy2_LightGrid-Accent6">
    <w:name w:val="Legacy2_Light Grid Accent 6"/>
    <w:basedOn w:val="Legacy2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egacy2_MediumShading1">
    <w:name w:val="Legacy2_Medium Shading 1"/>
    <w:basedOn w:val="Legacy2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egacy2_MediumShading1-Accent1">
    <w:name w:val="Legacy2_Medium Shading 1 Accent 1"/>
    <w:basedOn w:val="Legacy2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egacy2_MediumShading1-Accent2">
    <w:name w:val="Legacy2_Medium Shading 1 Accent 2"/>
    <w:basedOn w:val="Legacy2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egacy2_MediumShading1-Accent3">
    <w:name w:val="Legacy2_Medium Shading 1 Accent 3"/>
    <w:basedOn w:val="Legacy2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egacy2_MediumShading1-Accent4">
    <w:name w:val="Legacy2_Medium Shading 1 Accent 4"/>
    <w:basedOn w:val="Legacy2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egacy2_MediumShading1-Accent5">
    <w:name w:val="Legacy2_Medium Shading 1 Accent 5"/>
    <w:basedOn w:val="Legacy2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egacy2_MediumShading1-Accent6">
    <w:name w:val="Legacy2_Medium Shading 1 Accent 6"/>
    <w:basedOn w:val="Legacy2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egacy2_MediumShading2">
    <w:name w:val="Legacy2_Medium Shading 2"/>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Shading2-Accent1">
    <w:name w:val="Legacy2_Medium Shading 2 Accent 1"/>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Shading2-Accent2">
    <w:name w:val="Legacy2_Medium Shading 2 Accent 2"/>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Shading2-Accent3">
    <w:name w:val="Legacy2_Medium Shading 2 Accent 3"/>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Shading2-Accent4">
    <w:name w:val="Legacy2_Medium Shading 2 Accent 4"/>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Shading2-Accent5">
    <w:name w:val="Legacy2_Medium Shading 2 Accent 5"/>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Shading2-Accent6">
    <w:name w:val="Legacy2_Medium Shading 2 Accent 6"/>
    <w:basedOn w:val="Legacy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2_MediumList1">
    <w:name w:val="Legacy2_Medium List 1"/>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egacy2_MediumList1-Accent1">
    <w:name w:val="Legacy2_Medium List 1 Accent 1"/>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egacy2_MediumList1-Accent2">
    <w:name w:val="Legacy2_Medium List 1 Accent 2"/>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egacy2_MediumList1-Accent3">
    <w:name w:val="Legacy2_Medium List 1 Accent 3"/>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egacy2_MediumList1-Accent4">
    <w:name w:val="Legacy2_Medium List 1 Accent 4"/>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egacy2_MediumList1-Accent5">
    <w:name w:val="Legacy2_Medium List 1 Accent 5"/>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egacy2_MediumList1-Accent6">
    <w:name w:val="Legacy2_Medium List 1 Accent 6"/>
    <w:basedOn w:val="Legacy2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egacy2_MediumList2">
    <w:name w:val="Legacy2_Medium List 2"/>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List2-Accent1">
    <w:name w:val="Legacy2_Medium List 2 Accent 1"/>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List2-Accent2">
    <w:name w:val="Legacy2_Medium List 2 Accent 2"/>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List2-Accent3">
    <w:name w:val="Legacy2_Medium List 2 Accent 3"/>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List2-Accent4">
    <w:name w:val="Legacy2_Medium List 2 Accent 4"/>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List2-Accent5">
    <w:name w:val="Legacy2_Medium List 2 Accent 5"/>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List2-Accent6">
    <w:name w:val="Legacy2_Medium List 2 Accent 6"/>
    <w:basedOn w:val="Legacy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2_MediumGrid1">
    <w:name w:val="Legacy2_Medium Grid 1"/>
    <w:basedOn w:val="Legacy2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2_MediumGrid1-Accent1">
    <w:name w:val="Legacy2_Medium Grid 1 Accent 1"/>
    <w:basedOn w:val="Legacy2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2_MediumGrid1-Accent2">
    <w:name w:val="Legacy2_Medium Grid 1 Accent 2"/>
    <w:basedOn w:val="Legacy2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2_MediumGrid1-Accent3">
    <w:name w:val="Legacy2_Medium Grid 1 Accent 3"/>
    <w:basedOn w:val="Legacy2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2_MediumGrid1-Accent4">
    <w:name w:val="Legacy2_Medium Grid 1 Accent 4"/>
    <w:basedOn w:val="Legacy2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2_MediumGrid1-Accent5">
    <w:name w:val="Legacy2_Medium Grid 1 Accent 5"/>
    <w:basedOn w:val="Legacy2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2_MediumGrid1-Accent6">
    <w:name w:val="Legacy2_Medium Grid 1 Accent 6"/>
    <w:basedOn w:val="Legacy2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egacy2_MediumGrid2">
    <w:name w:val="Legacy2_Medium Grid 2"/>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egacy2_MediumGrid2-Accent1">
    <w:name w:val="Legacy2_Medium Grid 2 Accent 1"/>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egacy2_MediumGrid2-Accent2">
    <w:name w:val="Legacy2_Medium Grid 2 Accent 2"/>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egacy2_MediumGrid2-Accent3">
    <w:name w:val="Legacy2_Medium Grid 2 Accent 3"/>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egacy2_MediumGrid2-Accent4">
    <w:name w:val="Legacy2_Medium Grid 2 Accent 4"/>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egacy2_MediumGrid2-Accent5">
    <w:name w:val="Legacy2_Medium Grid 2 Accent 5"/>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egacy2_MediumGrid2-Accent6">
    <w:name w:val="Legacy2_Medium Grid 2 Accent 6"/>
    <w:basedOn w:val="Legacy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egacy2_MediumGrid3">
    <w:name w:val="Legacy2_Medium Grid 3"/>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egacy2_MediumGrid3-Accent1">
    <w:name w:val="Legacy2_Medium Grid 3 Accent 1"/>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egacy2_MediumGrid3-Accent2">
    <w:name w:val="Legacy2_Medium Grid 3 Accent 2"/>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egacy2_MediumGrid3-Accent3">
    <w:name w:val="Legacy2_Medium Grid 3 Accent 3"/>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egacy2_MediumGrid3-Accent4">
    <w:name w:val="Legacy2_Medium Grid 3 Accent 4"/>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egacy2_MediumGrid3-Accent5">
    <w:name w:val="Legacy2_Medium Grid 3 Accent 5"/>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egacy2_MediumGrid3-Accent6">
    <w:name w:val="Legacy2_Medium Grid 3 Accent 6"/>
    <w:basedOn w:val="Legacy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egacy2_DarkList">
    <w:name w:val="Legacy2_Dark List"/>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egacy2_DarkList-Accent1">
    <w:name w:val="Legacy2_Dark List Accent 1"/>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egacy2_DarkList-Accent2">
    <w:name w:val="Legacy2_Dark List Accent 2"/>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egacy2_DarkList-Accent3">
    <w:name w:val="Legacy2_Dark List Accent 3"/>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egacy2_DarkList-Accent4">
    <w:name w:val="Legacy2_Dark List Accent 4"/>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egacy2_DarkList-Accent5">
    <w:name w:val="Legacy2_Dark List Accent 5"/>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egacy2_DarkList-Accent6">
    <w:name w:val="Legacy2_Dark List Accent 6"/>
    <w:basedOn w:val="Legacy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egacy2_ColorfulShading">
    <w:name w:val="Legacy2_Colorful Shading"/>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egacy2_ColorfulShading-Accent1">
    <w:name w:val="Legacy2_Colorful Shading Accent 1"/>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egacy2_ColorfulShading-Accent2">
    <w:name w:val="Legacy2_Colorful Shading Accent 2"/>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egacy2_ColorfulShading-Accent3">
    <w:name w:val="Legacy2_Colorful Shading Accent 3"/>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egacy2_ColorfulShading-Accent4">
    <w:name w:val="Legacy2_Colorful Shading Accent 4"/>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Legacy2_ColorfulShading-Accent5">
    <w:name w:val="Legacy2_Colorful Shading Accent 5"/>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egacy2_ColorfulShading-Accent6">
    <w:name w:val="Legacy2_Colorful Shading Accent 6"/>
    <w:basedOn w:val="Legacy2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egacy2_ColorfulList">
    <w:name w:val="Legacy2_Colorful List"/>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egacy2_ColorfulList-Accent1">
    <w:name w:val="Legacy2_Colorful List Accent 1"/>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egacy2_ColorfulList-Accent2">
    <w:name w:val="Legacy2_Colorful List Accent 2"/>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egacy2_ColorfulList-Accent3">
    <w:name w:val="Legacy2_Colorful List Accent 3"/>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egacy2_ColorfulList-Accent4">
    <w:name w:val="Legacy2_Colorful List Accent 4"/>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egacy2_ColorfulList-Accent5">
    <w:name w:val="Legacy2_Colorful List Accent 5"/>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egacy2_ColorfulList-Accent6">
    <w:name w:val="Legacy2_Colorful List Accent 6"/>
    <w:basedOn w:val="Legacy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egacy2_ColorfulGrid">
    <w:name w:val="Legacy2_Colorful Grid"/>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2_ColorfulGrid-Accent1">
    <w:name w:val="Legacy2_Colorful Grid Accent 1"/>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2_ColorfulGrid-Accent2">
    <w:name w:val="Legacy2_Colorful Grid Accent 2"/>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2_ColorfulGrid-Accent3">
    <w:name w:val="Legacy2_Colorful Grid Accent 3"/>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2_ColorfulGrid-Accent4">
    <w:name w:val="Legacy2_Colorful Grid Accent 4"/>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2_ColorfulGrid-Accent5">
    <w:name w:val="Legacy2_Colorful Grid Accent 5"/>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2_ColorfulGrid-Accent6">
    <w:name w:val="Legacy2_Colorful Grid Accent 6"/>
    <w:basedOn w:val="Legacy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LegacyHead2_Normal">
    <w:name w:val="LegacyHead2_Normal"/>
    <w:qFormat/>
    <w:rsid w:val="00FC693F"/>
    <w:pPr>
      <w:spacing w:after="120"/>
    </w:pPr>
    <w:rPr>
      <w:rFonts w:ascii="Calibri" w:hAnsi="Calibri"/>
      <w:sz w:val="20"/>
    </w:rPr>
  </w:style>
  <w:style w:type="paragraph" w:styleId="LegacyHead2_Header">
    <w:name w:val="LegacyHead2_header"/>
    <w:basedOn w:val="LegacyHead2_Normal"/>
    <w:link w:val="LegacyHead2_HeaderChar"/>
    <w:uiPriority w:val="99"/>
    <w:unhideWhenUsed/>
    <w:rsid w:val="00E618BF"/>
    <w:pPr>
      <w:tabs>
        <w:tab w:val="center" w:pos="4680"/>
        <w:tab w:val="right" w:pos="9360"/>
      </w:tabs>
      <w:spacing w:after="0" w:line="240" w:lineRule="auto"/>
    </w:pPr>
  </w:style>
  <w:style w:type="character" w:customStyle="1" w:styleId="LegacyHead2_HeaderChar">
    <w:name w:val="LegacyHead2_Header Char"/>
    <w:basedOn w:val="LegacyHead2_DefaultParagraphFont"/>
    <w:link w:val="LegacyHead2_Header"/>
    <w:uiPriority w:val="99"/>
    <w:rsid w:val="00E618BF"/>
  </w:style>
  <w:style w:type="paragraph" w:styleId="LegacyHead2_Footer">
    <w:name w:val="LegacyHead2_footer"/>
    <w:basedOn w:val="LegacyHead2_Normal"/>
    <w:link w:val="LegacyHead2_FooterChar"/>
    <w:uiPriority w:val="99"/>
    <w:unhideWhenUsed/>
    <w:rsid w:val="00E618BF"/>
    <w:pPr>
      <w:tabs>
        <w:tab w:val="center" w:pos="4680"/>
        <w:tab w:val="right" w:pos="9360"/>
      </w:tabs>
      <w:spacing w:after="0" w:line="240" w:lineRule="auto"/>
    </w:pPr>
  </w:style>
  <w:style w:type="character" w:customStyle="1" w:styleId="LegacyHead2_FooterChar">
    <w:name w:val="LegacyHead2_Footer Char"/>
    <w:basedOn w:val="LegacyHead2_DefaultParagraphFont"/>
    <w:link w:val="LegacyHead2_Footer"/>
    <w:uiPriority w:val="99"/>
    <w:rsid w:val="00E618BF"/>
  </w:style>
  <w:style w:type="paragraph" w:styleId="LegacyHead2_Heading1">
    <w:name w:val="LegacyHead2_heading 1"/>
    <w:basedOn w:val="LegacyHead2_Normal"/>
    <w:next w:val="LegacyHead2_Normal"/>
    <w:link w:val="LegacyHead2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LegacyHead2_Heading2">
    <w:name w:val="LegacyHead2_heading 2"/>
    <w:basedOn w:val="LegacyHead2_Normal"/>
    <w:next w:val="LegacyHead2_Normal"/>
    <w:link w:val="LegacyHead2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LegacyHead2_Heading3">
    <w:name w:val="LegacyHead2_heading 3"/>
    <w:basedOn w:val="LegacyHead2_Normal"/>
    <w:next w:val="LegacyHead2_Normal"/>
    <w:link w:val="LegacyHead2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LegacyHead2_Heading4">
    <w:name w:val="LegacyHead2_heading 4"/>
    <w:basedOn w:val="LegacyHead2_Normal"/>
    <w:next w:val="LegacyHead2_Normal"/>
    <w:link w:val="LegacyHead2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LegacyHead2_Heading5">
    <w:name w:val="LegacyHead2_heading 5"/>
    <w:basedOn w:val="LegacyHead2_Normal"/>
    <w:next w:val="LegacyHead2_Normal"/>
    <w:link w:val="LegacyHead2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LegacyHead2_Heading6">
    <w:name w:val="LegacyHead2_heading 6"/>
    <w:basedOn w:val="LegacyHead2_Normal"/>
    <w:next w:val="LegacyHead2_Normal"/>
    <w:link w:val="LegacyHead2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LegacyHead2_Heading7">
    <w:name w:val="LegacyHead2_heading 7"/>
    <w:basedOn w:val="LegacyHead2_Normal"/>
    <w:next w:val="LegacyHead2_Normal"/>
    <w:link w:val="LegacyHead2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LegacyHead2_Heading8">
    <w:name w:val="LegacyHead2_heading 8"/>
    <w:basedOn w:val="LegacyHead2_Normal"/>
    <w:next w:val="LegacyHead2_Normal"/>
    <w:link w:val="LegacyHead2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LegacyHead2_Heading9">
    <w:name w:val="LegacyHead2_heading 9"/>
    <w:basedOn w:val="LegacyHead2_Normal"/>
    <w:next w:val="LegacyHead2_Normal"/>
    <w:link w:val="LegacyHead2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egacyHead2_DefaultParagraphFont">
    <w:name w:val="LegacyHead2_Default Paragraph Font"/>
    <w:uiPriority w:val="1"/>
    <w:semiHidden/>
    <w:unhideWhenUsed/>
  </w:style>
  <w:style w:type="table" w:default="1" w:styleId="LegacyHead2_TableNormal">
    <w:name w:val="LegacyHead2_Normal Table"/>
    <w:uiPriority w:val="99"/>
    <w:semiHidden/>
    <w:unhideWhenUsed/>
    <w:tblPr>
      <w:tblInd w:w="0" w:type="dxa"/>
      <w:tblCellMar>
        <w:top w:w="0" w:type="dxa"/>
        <w:left w:w="108" w:type="dxa"/>
        <w:bottom w:w="0" w:type="dxa"/>
        <w:right w:w="108" w:type="dxa"/>
      </w:tblCellMar>
    </w:tblPr>
  </w:style>
  <w:style w:type="numbering" w:default="1" w:styleId="LegacyHead2_NoList">
    <w:name w:val="LegacyHead2_No List"/>
    <w:uiPriority w:val="99"/>
    <w:semiHidden/>
    <w:unhideWhenUsed/>
  </w:style>
  <w:style w:type="paragraph" w:styleId="LegacyHead2_NoSpacing">
    <w:name w:val="LegacyHead2_No Spacing"/>
    <w:uiPriority w:val="1"/>
    <w:qFormat/>
    <w:rsid w:val="00FC693F"/>
    <w:pPr>
      <w:spacing w:after="0" w:line="240" w:lineRule="auto"/>
    </w:pPr>
  </w:style>
  <w:style w:type="character" w:customStyle="1" w:styleId="LegacyHead2_Heading1Char">
    <w:name w:val="LegacyHead2_Heading 1 Char"/>
    <w:basedOn w:val="LegacyHead2_DefaultParagraphFont"/>
    <w:link w:val="LegacyHead2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LegacyHead2_Heading2Char">
    <w:name w:val="LegacyHead2_Heading 2 Char"/>
    <w:basedOn w:val="LegacyHead2_DefaultParagraphFont"/>
    <w:link w:val="LegacyHead2_Heading2"/>
    <w:uiPriority w:val="9"/>
    <w:rsid w:val="00FC693F"/>
    <w:rPr>
      <w:rFonts w:asciiTheme="majorHAnsi" w:eastAsiaTheme="majorEastAsia" w:hAnsiTheme="majorHAnsi" w:cstheme="majorBidi"/>
      <w:b/>
      <w:bCs/>
      <w:color w:val="4F81BD" w:themeColor="accent1"/>
      <w:sz w:val="26"/>
      <w:szCs w:val="26"/>
    </w:rPr>
  </w:style>
  <w:style w:type="character" w:customStyle="1" w:styleId="LegacyHead2_Heading3Char">
    <w:name w:val="LegacyHead2_Heading 3 Char"/>
    <w:basedOn w:val="LegacyHead2_DefaultParagraphFont"/>
    <w:link w:val="LegacyHead2_Heading3"/>
    <w:uiPriority w:val="9"/>
    <w:rsid w:val="00FC693F"/>
    <w:rPr>
      <w:rFonts w:asciiTheme="majorHAnsi" w:eastAsiaTheme="majorEastAsia" w:hAnsiTheme="majorHAnsi" w:cstheme="majorBidi"/>
      <w:b/>
      <w:bCs/>
      <w:color w:val="4F81BD" w:themeColor="accent1"/>
    </w:rPr>
  </w:style>
  <w:style w:type="paragraph" w:styleId="LegacyHead2_Title">
    <w:name w:val="LegacyHead2_Title"/>
    <w:basedOn w:val="LegacyHead2_Normal"/>
    <w:next w:val="LegacyHead2_Normal"/>
    <w:link w:val="LegacyHead2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LegacyHead2_TitleChar">
    <w:name w:val="LegacyHead2_Title Char"/>
    <w:basedOn w:val="LegacyHead2_DefaultParagraphFont"/>
    <w:link w:val="LegacyHead2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egacyHead2_Subtitle">
    <w:name w:val="LegacyHead2_Subtitle"/>
    <w:basedOn w:val="LegacyHead2_Normal"/>
    <w:next w:val="LegacyHead2_Normal"/>
    <w:link w:val="LegacyHead2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LegacyHead2_SubtitleChar">
    <w:name w:val="LegacyHead2_Subtitle Char"/>
    <w:basedOn w:val="LegacyHead2_DefaultParagraphFont"/>
    <w:link w:val="LegacyHead2_Subtitle"/>
    <w:uiPriority w:val="11"/>
    <w:rsid w:val="00FC693F"/>
    <w:rPr>
      <w:rFonts w:asciiTheme="majorHAnsi" w:eastAsiaTheme="majorEastAsia" w:hAnsiTheme="majorHAnsi" w:cstheme="majorBidi"/>
      <w:i/>
      <w:iCs/>
      <w:color w:val="4F81BD" w:themeColor="accent1"/>
      <w:spacing w:val="15"/>
      <w:sz w:val="24"/>
      <w:szCs w:val="24"/>
    </w:rPr>
  </w:style>
  <w:style w:type="paragraph" w:styleId="LegacyHead2_ListParagraph">
    <w:name w:val="LegacyHead2_List Paragraph"/>
    <w:basedOn w:val="LegacyHead2_Normal"/>
    <w:uiPriority w:val="34"/>
    <w:qFormat/>
    <w:rsid w:val="00FC693F"/>
    <w:pPr>
      <w:ind w:left="720"/>
      <w:contextualSpacing/>
    </w:pPr>
  </w:style>
  <w:style w:type="paragraph" w:styleId="LegacyHead2_BodyText">
    <w:name w:val="LegacyHead2_Body Text"/>
    <w:basedOn w:val="LegacyHead2_Normal"/>
    <w:link w:val="LegacyHead2_BodyTextChar"/>
    <w:uiPriority w:val="99"/>
    <w:unhideWhenUsed/>
    <w:rsid w:val="00AA1D8D"/>
    <w:pPr>
      <w:spacing w:after="120"/>
    </w:pPr>
  </w:style>
  <w:style w:type="character" w:customStyle="1" w:styleId="LegacyHead2_BodyTextChar">
    <w:name w:val="LegacyHead2_Body Text Char"/>
    <w:basedOn w:val="LegacyHead2_DefaultParagraphFont"/>
    <w:link w:val="LegacyHead2_BodyText"/>
    <w:uiPriority w:val="99"/>
    <w:rsid w:val="00AA1D8D"/>
  </w:style>
  <w:style w:type="paragraph" w:styleId="LegacyHead2_BodyText2">
    <w:name w:val="LegacyHead2_Body Text 2"/>
    <w:basedOn w:val="LegacyHead2_Normal"/>
    <w:link w:val="LegacyHead2_BodyText2Char"/>
    <w:uiPriority w:val="99"/>
    <w:unhideWhenUsed/>
    <w:rsid w:val="00AA1D8D"/>
    <w:pPr>
      <w:spacing w:after="120" w:line="480" w:lineRule="auto"/>
    </w:pPr>
  </w:style>
  <w:style w:type="character" w:customStyle="1" w:styleId="LegacyHead2_BodyText2Char">
    <w:name w:val="LegacyHead2_Body Text 2 Char"/>
    <w:basedOn w:val="LegacyHead2_DefaultParagraphFont"/>
    <w:link w:val="LegacyHead2_BodyText2"/>
    <w:uiPriority w:val="99"/>
    <w:rsid w:val="00AA1D8D"/>
  </w:style>
  <w:style w:type="paragraph" w:styleId="LegacyHead2_BodyText3">
    <w:name w:val="LegacyHead2_Body Text 3"/>
    <w:basedOn w:val="LegacyHead2_Normal"/>
    <w:link w:val="LegacyHead2_BodyText3Char"/>
    <w:uiPriority w:val="99"/>
    <w:unhideWhenUsed/>
    <w:rsid w:val="00AA1D8D"/>
    <w:pPr>
      <w:spacing w:after="120"/>
    </w:pPr>
    <w:rPr>
      <w:sz w:val="16"/>
      <w:szCs w:val="16"/>
    </w:rPr>
  </w:style>
  <w:style w:type="character" w:customStyle="1" w:styleId="LegacyHead2_BodyText3Char">
    <w:name w:val="LegacyHead2_Body Text 3 Char"/>
    <w:basedOn w:val="LegacyHead2_DefaultParagraphFont"/>
    <w:link w:val="LegacyHead2_BodyText3"/>
    <w:uiPriority w:val="99"/>
    <w:rsid w:val="00AA1D8D"/>
    <w:rPr>
      <w:sz w:val="16"/>
      <w:szCs w:val="16"/>
    </w:rPr>
  </w:style>
  <w:style w:type="paragraph" w:styleId="LegacyHead2_List">
    <w:name w:val="LegacyHead2_List"/>
    <w:basedOn w:val="LegacyHead2_Normal"/>
    <w:uiPriority w:val="99"/>
    <w:unhideWhenUsed/>
    <w:rsid w:val="00AA1D8D"/>
    <w:pPr>
      <w:ind w:left="360" w:hanging="360"/>
      <w:contextualSpacing/>
    </w:pPr>
  </w:style>
  <w:style w:type="paragraph" w:styleId="LegacyHead2_List2">
    <w:name w:val="LegacyHead2_List 2"/>
    <w:basedOn w:val="LegacyHead2_Normal"/>
    <w:uiPriority w:val="99"/>
    <w:unhideWhenUsed/>
    <w:rsid w:val="00326F90"/>
    <w:pPr>
      <w:ind w:left="720" w:hanging="360"/>
      <w:contextualSpacing/>
    </w:pPr>
  </w:style>
  <w:style w:type="paragraph" w:styleId="LegacyHead2_List3">
    <w:name w:val="LegacyHead2_List 3"/>
    <w:basedOn w:val="LegacyHead2_Normal"/>
    <w:uiPriority w:val="99"/>
    <w:unhideWhenUsed/>
    <w:rsid w:val="00326F90"/>
    <w:pPr>
      <w:ind w:left="1080" w:hanging="360"/>
      <w:contextualSpacing/>
    </w:pPr>
  </w:style>
  <w:style w:type="paragraph" w:styleId="LegacyHead2_ListBullet">
    <w:name w:val="LegacyHead2_List Bullet"/>
    <w:basedOn w:val="LegacyHead2_Normal"/>
    <w:uiPriority w:val="99"/>
    <w:unhideWhenUsed/>
    <w:rsid w:val="00326F90"/>
    <w:pPr>
      <w:numPr>
        <w:numId w:val="1"/>
      </w:numPr>
      <w:contextualSpacing/>
    </w:pPr>
  </w:style>
  <w:style w:type="paragraph" w:styleId="LegacyHead2_ListBullet2">
    <w:name w:val="LegacyHead2_List Bullet 2"/>
    <w:basedOn w:val="LegacyHead2_Normal"/>
    <w:uiPriority w:val="99"/>
    <w:unhideWhenUsed/>
    <w:rsid w:val="00326F90"/>
    <w:pPr>
      <w:numPr>
        <w:numId w:val="2"/>
      </w:numPr>
      <w:contextualSpacing/>
    </w:pPr>
  </w:style>
  <w:style w:type="paragraph" w:styleId="LegacyHead2_ListBullet3">
    <w:name w:val="LegacyHead2_List Bullet 3"/>
    <w:basedOn w:val="LegacyHead2_Normal"/>
    <w:uiPriority w:val="99"/>
    <w:unhideWhenUsed/>
    <w:rsid w:val="00326F90"/>
    <w:pPr>
      <w:numPr>
        <w:numId w:val="3"/>
      </w:numPr>
      <w:contextualSpacing/>
    </w:pPr>
  </w:style>
  <w:style w:type="paragraph" w:styleId="LegacyHead2_ListNumber">
    <w:name w:val="LegacyHead2_List Number"/>
    <w:basedOn w:val="LegacyHead2_Normal"/>
    <w:uiPriority w:val="99"/>
    <w:unhideWhenUsed/>
    <w:rsid w:val="00326F90"/>
    <w:pPr>
      <w:numPr>
        <w:numId w:val="5"/>
      </w:numPr>
      <w:contextualSpacing/>
    </w:pPr>
  </w:style>
  <w:style w:type="paragraph" w:styleId="LegacyHead2_ListNumber2">
    <w:name w:val="LegacyHead2_List Number 2"/>
    <w:basedOn w:val="LegacyHead2_Normal"/>
    <w:uiPriority w:val="99"/>
    <w:unhideWhenUsed/>
    <w:rsid w:val="0029639D"/>
    <w:pPr>
      <w:numPr>
        <w:numId w:val="6"/>
      </w:numPr>
      <w:contextualSpacing/>
    </w:pPr>
  </w:style>
  <w:style w:type="paragraph" w:styleId="LegacyHead2_ListNumber3">
    <w:name w:val="LegacyHead2_List Number 3"/>
    <w:basedOn w:val="LegacyHead2_Normal"/>
    <w:uiPriority w:val="99"/>
    <w:unhideWhenUsed/>
    <w:rsid w:val="0029639D"/>
    <w:pPr>
      <w:numPr>
        <w:numId w:val="7"/>
      </w:numPr>
      <w:contextualSpacing/>
    </w:pPr>
  </w:style>
  <w:style w:type="paragraph" w:styleId="LegacyHead2_ListContinue">
    <w:name w:val="LegacyHead2_List Continue"/>
    <w:basedOn w:val="LegacyHead2_Normal"/>
    <w:uiPriority w:val="99"/>
    <w:unhideWhenUsed/>
    <w:rsid w:val="0029639D"/>
    <w:pPr>
      <w:spacing w:after="120"/>
      <w:ind w:left="360"/>
      <w:contextualSpacing/>
    </w:pPr>
  </w:style>
  <w:style w:type="paragraph" w:styleId="LegacyHead2_ListContinue2">
    <w:name w:val="LegacyHead2_List Continue 2"/>
    <w:basedOn w:val="LegacyHead2_Normal"/>
    <w:uiPriority w:val="99"/>
    <w:unhideWhenUsed/>
    <w:rsid w:val="0029639D"/>
    <w:pPr>
      <w:spacing w:after="120"/>
      <w:ind w:left="720"/>
      <w:contextualSpacing/>
    </w:pPr>
  </w:style>
  <w:style w:type="paragraph" w:styleId="LegacyHead2_ListContinue3">
    <w:name w:val="LegacyHead2_List Continue 3"/>
    <w:basedOn w:val="LegacyHead2_Normal"/>
    <w:uiPriority w:val="99"/>
    <w:unhideWhenUsed/>
    <w:rsid w:val="0029639D"/>
    <w:pPr>
      <w:spacing w:after="120"/>
      <w:ind w:left="1080"/>
      <w:contextualSpacing/>
    </w:pPr>
  </w:style>
  <w:style w:type="paragraph" w:styleId="LegacyHead2_MacroText">
    <w:name w:val="LegacyHead2_macro"/>
    <w:link w:val="LegacyHead2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LegacyHead2_MacroTextChar">
    <w:name w:val="LegacyHead2_Macro Text Char"/>
    <w:basedOn w:val="LegacyHead2_DefaultParagraphFont"/>
    <w:link w:val="LegacyHead2_MacroText"/>
    <w:uiPriority w:val="99"/>
    <w:rsid w:val="0029639D"/>
    <w:rPr>
      <w:rFonts w:ascii="Courier" w:hAnsi="Courier"/>
      <w:sz w:val="20"/>
      <w:szCs w:val="20"/>
    </w:rPr>
  </w:style>
  <w:style w:type="paragraph" w:styleId="LegacyHead2_Quote">
    <w:name w:val="LegacyHead2_Quote"/>
    <w:basedOn w:val="LegacyHead2_Normal"/>
    <w:next w:val="LegacyHead2_Normal"/>
    <w:link w:val="LegacyHead2_QuoteChar"/>
    <w:uiPriority w:val="29"/>
    <w:qFormat/>
    <w:rsid w:val="00FC693F"/>
    <w:rPr>
      <w:i/>
      <w:iCs/>
      <w:color w:val="000000" w:themeColor="text1"/>
    </w:rPr>
  </w:style>
  <w:style w:type="character" w:customStyle="1" w:styleId="LegacyHead2_QuoteChar">
    <w:name w:val="LegacyHead2_Quote Char"/>
    <w:basedOn w:val="LegacyHead2_DefaultParagraphFont"/>
    <w:link w:val="LegacyHead2_Quote"/>
    <w:uiPriority w:val="29"/>
    <w:rsid w:val="00FC693F"/>
    <w:rPr>
      <w:i/>
      <w:iCs/>
      <w:color w:val="000000" w:themeColor="text1"/>
    </w:rPr>
  </w:style>
  <w:style w:type="character" w:customStyle="1" w:styleId="LegacyHead2_Heading4Char">
    <w:name w:val="LegacyHead2_Heading 4 Char"/>
    <w:basedOn w:val="LegacyHead2_DefaultParagraphFont"/>
    <w:link w:val="LegacyHead2_Heading4"/>
    <w:uiPriority w:val="9"/>
    <w:semiHidden/>
    <w:rsid w:val="00FC693F"/>
    <w:rPr>
      <w:rFonts w:asciiTheme="majorHAnsi" w:eastAsiaTheme="majorEastAsia" w:hAnsiTheme="majorHAnsi" w:cstheme="majorBidi"/>
      <w:b/>
      <w:bCs/>
      <w:i/>
      <w:iCs/>
      <w:color w:val="4F81BD" w:themeColor="accent1"/>
    </w:rPr>
  </w:style>
  <w:style w:type="character" w:customStyle="1" w:styleId="LegacyHead2_Heading5Char">
    <w:name w:val="LegacyHead2_Heading 5 Char"/>
    <w:basedOn w:val="LegacyHead2_DefaultParagraphFont"/>
    <w:link w:val="LegacyHead2_Heading5"/>
    <w:uiPriority w:val="9"/>
    <w:semiHidden/>
    <w:rsid w:val="00FC693F"/>
    <w:rPr>
      <w:rFonts w:asciiTheme="majorHAnsi" w:eastAsiaTheme="majorEastAsia" w:hAnsiTheme="majorHAnsi" w:cstheme="majorBidi"/>
      <w:color w:val="243F60" w:themeColor="accent1" w:themeShade="7F"/>
    </w:rPr>
  </w:style>
  <w:style w:type="character" w:customStyle="1" w:styleId="LegacyHead2_Heading6Char">
    <w:name w:val="LegacyHead2_Heading 6 Char"/>
    <w:basedOn w:val="LegacyHead2_DefaultParagraphFont"/>
    <w:link w:val="LegacyHead2_Heading6"/>
    <w:uiPriority w:val="9"/>
    <w:semiHidden/>
    <w:rsid w:val="00FC693F"/>
    <w:rPr>
      <w:rFonts w:asciiTheme="majorHAnsi" w:eastAsiaTheme="majorEastAsia" w:hAnsiTheme="majorHAnsi" w:cstheme="majorBidi"/>
      <w:i/>
      <w:iCs/>
      <w:color w:val="243F60" w:themeColor="accent1" w:themeShade="7F"/>
    </w:rPr>
  </w:style>
  <w:style w:type="character" w:customStyle="1" w:styleId="LegacyHead2_Heading7Char">
    <w:name w:val="LegacyHead2_Heading 7 Char"/>
    <w:basedOn w:val="LegacyHead2_DefaultParagraphFont"/>
    <w:link w:val="LegacyHead2_Heading7"/>
    <w:uiPriority w:val="9"/>
    <w:semiHidden/>
    <w:rsid w:val="00FC693F"/>
    <w:rPr>
      <w:rFonts w:asciiTheme="majorHAnsi" w:eastAsiaTheme="majorEastAsia" w:hAnsiTheme="majorHAnsi" w:cstheme="majorBidi"/>
      <w:i/>
      <w:iCs/>
      <w:color w:val="404040" w:themeColor="text1" w:themeTint="BF"/>
    </w:rPr>
  </w:style>
  <w:style w:type="character" w:customStyle="1" w:styleId="LegacyHead2_Heading8Char">
    <w:name w:val="LegacyHead2_Heading 8 Char"/>
    <w:basedOn w:val="LegacyHead2_DefaultParagraphFont"/>
    <w:link w:val="LegacyHead2_Heading8"/>
    <w:uiPriority w:val="9"/>
    <w:semiHidden/>
    <w:rsid w:val="00FC693F"/>
    <w:rPr>
      <w:rFonts w:asciiTheme="majorHAnsi" w:eastAsiaTheme="majorEastAsia" w:hAnsiTheme="majorHAnsi" w:cstheme="majorBidi"/>
      <w:color w:val="4F81BD" w:themeColor="accent1"/>
      <w:sz w:val="20"/>
      <w:szCs w:val="20"/>
    </w:rPr>
  </w:style>
  <w:style w:type="character" w:customStyle="1" w:styleId="LegacyHead2_Heading9Char">
    <w:name w:val="LegacyHead2_Heading 9 Char"/>
    <w:basedOn w:val="LegacyHead2_DefaultParagraphFont"/>
    <w:link w:val="LegacyHead2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LegacyHead2_Caption">
    <w:name w:val="LegacyHead2_caption"/>
    <w:basedOn w:val="LegacyHead2_Normal"/>
    <w:next w:val="LegacyHead2_Normal"/>
    <w:uiPriority w:val="35"/>
    <w:semiHidden/>
    <w:unhideWhenUsed/>
    <w:qFormat/>
    <w:rsid w:val="00FC693F"/>
    <w:pPr>
      <w:spacing w:line="240" w:lineRule="auto"/>
    </w:pPr>
    <w:rPr>
      <w:b/>
      <w:bCs/>
      <w:color w:val="4F81BD" w:themeColor="accent1"/>
      <w:sz w:val="18"/>
      <w:szCs w:val="18"/>
    </w:rPr>
  </w:style>
  <w:style w:type="character" w:styleId="LegacyHead2_Strong">
    <w:name w:val="LegacyHead2_Strong"/>
    <w:basedOn w:val="LegacyHead2_DefaultParagraphFont"/>
    <w:uiPriority w:val="22"/>
    <w:qFormat/>
    <w:rsid w:val="00FC693F"/>
    <w:rPr>
      <w:b/>
      <w:bCs/>
    </w:rPr>
  </w:style>
  <w:style w:type="character" w:styleId="LegacyHead2_Emphasis">
    <w:name w:val="LegacyHead2_Emphasis"/>
    <w:basedOn w:val="LegacyHead2_DefaultParagraphFont"/>
    <w:uiPriority w:val="20"/>
    <w:qFormat/>
    <w:rsid w:val="00FC693F"/>
    <w:rPr>
      <w:i/>
      <w:iCs/>
    </w:rPr>
  </w:style>
  <w:style w:type="paragraph" w:styleId="LegacyHead2_IntenseQuote">
    <w:name w:val="LegacyHead2_Intense Quote"/>
    <w:basedOn w:val="LegacyHead2_Normal"/>
    <w:next w:val="LegacyHead2_Normal"/>
    <w:link w:val="LegacyHead2_IntenseQuoteChar"/>
    <w:uiPriority w:val="30"/>
    <w:qFormat/>
    <w:rsid w:val="00FC693F"/>
    <w:pPr>
      <w:spacing w:before="200" w:after="280"/>
      <w:ind w:left="936" w:right="936"/>
    </w:pPr>
    <w:rPr>
      <w:b/>
      <w:bCs/>
      <w:i/>
      <w:iCs/>
      <w:color w:val="4F81BD" w:themeColor="accent1"/>
    </w:rPr>
  </w:style>
  <w:style w:type="character" w:customStyle="1" w:styleId="LegacyHead2_IntenseQuoteChar">
    <w:name w:val="LegacyHead2_Intense Quote Char"/>
    <w:basedOn w:val="LegacyHead2_DefaultParagraphFont"/>
    <w:link w:val="LegacyHead2_IntenseQuote"/>
    <w:uiPriority w:val="30"/>
    <w:rsid w:val="00FC693F"/>
    <w:rPr>
      <w:b/>
      <w:bCs/>
      <w:i/>
      <w:iCs/>
      <w:color w:val="4F81BD" w:themeColor="accent1"/>
    </w:rPr>
  </w:style>
  <w:style w:type="character" w:styleId="LegacyHead2_SubtleEmphasis">
    <w:name w:val="LegacyHead2_Subtle Emphasis"/>
    <w:basedOn w:val="LegacyHead2_DefaultParagraphFont"/>
    <w:uiPriority w:val="19"/>
    <w:qFormat/>
    <w:rsid w:val="00FC693F"/>
    <w:rPr>
      <w:i/>
      <w:iCs/>
      <w:color w:val="808080" w:themeColor="text1" w:themeTint="7F"/>
    </w:rPr>
  </w:style>
  <w:style w:type="character" w:styleId="LegacyHead2_IntenseEmphasis">
    <w:name w:val="LegacyHead2_Intense Emphasis"/>
    <w:basedOn w:val="LegacyHead2_DefaultParagraphFont"/>
    <w:uiPriority w:val="21"/>
    <w:qFormat/>
    <w:rsid w:val="00FC693F"/>
    <w:rPr>
      <w:b/>
      <w:bCs/>
      <w:i/>
      <w:iCs/>
      <w:color w:val="4F81BD" w:themeColor="accent1"/>
    </w:rPr>
  </w:style>
  <w:style w:type="character" w:styleId="LegacyHead2_SubtleReference">
    <w:name w:val="LegacyHead2_Subtle Reference"/>
    <w:basedOn w:val="LegacyHead2_DefaultParagraphFont"/>
    <w:uiPriority w:val="31"/>
    <w:qFormat/>
    <w:rsid w:val="00FC693F"/>
    <w:rPr>
      <w:smallCaps/>
      <w:color w:val="C0504D" w:themeColor="accent2"/>
      <w:u w:val="single"/>
    </w:rPr>
  </w:style>
  <w:style w:type="character" w:styleId="LegacyHead2_IntenseReference">
    <w:name w:val="LegacyHead2_Intense Reference"/>
    <w:basedOn w:val="LegacyHead2_DefaultParagraphFont"/>
    <w:uiPriority w:val="32"/>
    <w:qFormat/>
    <w:rsid w:val="00FC693F"/>
    <w:rPr>
      <w:b/>
      <w:bCs/>
      <w:smallCaps/>
      <w:color w:val="C0504D" w:themeColor="accent2"/>
      <w:spacing w:val="5"/>
      <w:u w:val="single"/>
    </w:rPr>
  </w:style>
  <w:style w:type="character" w:styleId="LegacyHead2_BookTitle">
    <w:name w:val="LegacyHead2_Book Title"/>
    <w:basedOn w:val="LegacyHead2_DefaultParagraphFont"/>
    <w:uiPriority w:val="33"/>
    <w:qFormat/>
    <w:rsid w:val="00FC693F"/>
    <w:rPr>
      <w:b/>
      <w:bCs/>
      <w:smallCaps/>
      <w:spacing w:val="5"/>
    </w:rPr>
  </w:style>
  <w:style w:type="paragraph" w:styleId="LegacyHead2_TOCHeading">
    <w:name w:val="LegacyHead2_TOC Heading"/>
    <w:basedOn w:val="LegacyHead2_Heading1"/>
    <w:next w:val="LegacyHead2_Normal"/>
    <w:uiPriority w:val="39"/>
    <w:semiHidden/>
    <w:unhideWhenUsed/>
    <w:qFormat/>
    <w:rsid w:val="00FC693F"/>
    <w:pPr>
      <w:outlineLvl w:val="9"/>
    </w:pPr>
  </w:style>
  <w:style w:type="table" w:styleId="LegacyHead2_TableGrid">
    <w:name w:val="LegacyHead2_Table Grid"/>
    <w:basedOn w:val="LegacyHead2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egacyHead2_LightShading">
    <w:name w:val="LegacyHead2_Light Shading"/>
    <w:basedOn w:val="LegacyHead2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egacyHead2_LightShading-Accent1">
    <w:name w:val="LegacyHead2_Light Shading Accent 1"/>
    <w:basedOn w:val="LegacyHead2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egacyHead2_LightShading-Accent2">
    <w:name w:val="LegacyHead2_Light Shading Accent 2"/>
    <w:basedOn w:val="LegacyHead2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egacyHead2_LightShading-Accent3">
    <w:name w:val="LegacyHead2_Light Shading Accent 3"/>
    <w:basedOn w:val="LegacyHead2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egacyHead2_LightShading-Accent4">
    <w:name w:val="LegacyHead2_Light Shading Accent 4"/>
    <w:basedOn w:val="LegacyHead2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egacyHead2_LightShading-Accent5">
    <w:name w:val="LegacyHead2_Light Shading Accent 5"/>
    <w:basedOn w:val="LegacyHead2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egacyHead2_LightShading-Accent6">
    <w:name w:val="LegacyHead2_Light Shading Accent 6"/>
    <w:basedOn w:val="LegacyHead2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egacyHead2_LightList">
    <w:name w:val="LegacyHead2_Light List"/>
    <w:basedOn w:val="LegacyHead2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egacyHead2_LightList-Accent1">
    <w:name w:val="LegacyHead2_Light List Accent 1"/>
    <w:basedOn w:val="LegacyHead2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egacyHead2_LightList-Accent2">
    <w:name w:val="LegacyHead2_Light List Accent 2"/>
    <w:basedOn w:val="LegacyHead2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egacyHead2_LightList-Accent3">
    <w:name w:val="LegacyHead2_Light List Accent 3"/>
    <w:basedOn w:val="LegacyHead2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egacyHead2_LightList-Accent4">
    <w:name w:val="LegacyHead2_Light List Accent 4"/>
    <w:basedOn w:val="LegacyHead2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egacyHead2_LightList-Accent5">
    <w:name w:val="LegacyHead2_Light List Accent 5"/>
    <w:basedOn w:val="LegacyHead2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egacyHead2_LightList-Accent6">
    <w:name w:val="LegacyHead2_Light List Accent 6"/>
    <w:basedOn w:val="LegacyHead2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egacyHead2_LightGrid">
    <w:name w:val="LegacyHead2_Light Grid"/>
    <w:basedOn w:val="LegacyHead2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egacyHead2_LightGrid-Accent1">
    <w:name w:val="LegacyHead2_Light Grid Accent 1"/>
    <w:basedOn w:val="LegacyHead2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egacyHead2_LightGrid-Accent2">
    <w:name w:val="LegacyHead2_Light Grid Accent 2"/>
    <w:basedOn w:val="LegacyHead2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egacyHead2_LightGrid-Accent3">
    <w:name w:val="LegacyHead2_Light Grid Accent 3"/>
    <w:basedOn w:val="LegacyHead2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egacyHead2_LightGrid-Accent4">
    <w:name w:val="LegacyHead2_Light Grid Accent 4"/>
    <w:basedOn w:val="LegacyHead2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egacyHead2_LightGrid-Accent5">
    <w:name w:val="LegacyHead2_Light Grid Accent 5"/>
    <w:basedOn w:val="LegacyHead2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egacyHead2_LightGrid-Accent6">
    <w:name w:val="LegacyHead2_Light Grid Accent 6"/>
    <w:basedOn w:val="LegacyHead2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egacyHead2_MediumShading1">
    <w:name w:val="LegacyHead2_Medium Shading 1"/>
    <w:basedOn w:val="LegacyHead2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egacyHead2_MediumShading1-Accent1">
    <w:name w:val="LegacyHead2_Medium Shading 1 Accent 1"/>
    <w:basedOn w:val="LegacyHead2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egacyHead2_MediumShading1-Accent2">
    <w:name w:val="LegacyHead2_Medium Shading 1 Accent 2"/>
    <w:basedOn w:val="LegacyHead2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egacyHead2_MediumShading1-Accent3">
    <w:name w:val="LegacyHead2_Medium Shading 1 Accent 3"/>
    <w:basedOn w:val="LegacyHead2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egacyHead2_MediumShading1-Accent4">
    <w:name w:val="LegacyHead2_Medium Shading 1 Accent 4"/>
    <w:basedOn w:val="LegacyHead2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egacyHead2_MediumShading1-Accent5">
    <w:name w:val="LegacyHead2_Medium Shading 1 Accent 5"/>
    <w:basedOn w:val="LegacyHead2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egacyHead2_MediumShading1-Accent6">
    <w:name w:val="LegacyHead2_Medium Shading 1 Accent 6"/>
    <w:basedOn w:val="LegacyHead2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egacyHead2_MediumShading2">
    <w:name w:val="LegacyHead2_Medium Shading 2"/>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Shading2-Accent1">
    <w:name w:val="LegacyHead2_Medium Shading 2 Accent 1"/>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Shading2-Accent2">
    <w:name w:val="LegacyHead2_Medium Shading 2 Accent 2"/>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Shading2-Accent3">
    <w:name w:val="LegacyHead2_Medium Shading 2 Accent 3"/>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Shading2-Accent4">
    <w:name w:val="LegacyHead2_Medium Shading 2 Accent 4"/>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Shading2-Accent5">
    <w:name w:val="LegacyHead2_Medium Shading 2 Accent 5"/>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Shading2-Accent6">
    <w:name w:val="LegacyHead2_Medium Shading 2 Accent 6"/>
    <w:basedOn w:val="LegacyHead2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egacyHead2_MediumList1">
    <w:name w:val="LegacyHead2_Medium List 1"/>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egacyHead2_MediumList1-Accent1">
    <w:name w:val="LegacyHead2_Medium List 1 Accent 1"/>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egacyHead2_MediumList1-Accent2">
    <w:name w:val="LegacyHead2_Medium List 1 Accent 2"/>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egacyHead2_MediumList1-Accent3">
    <w:name w:val="LegacyHead2_Medium List 1 Accent 3"/>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egacyHead2_MediumList1-Accent4">
    <w:name w:val="LegacyHead2_Medium List 1 Accent 4"/>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egacyHead2_MediumList1-Accent5">
    <w:name w:val="LegacyHead2_Medium List 1 Accent 5"/>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egacyHead2_MediumList1-Accent6">
    <w:name w:val="LegacyHead2_Medium List 1 Accent 6"/>
    <w:basedOn w:val="LegacyHead2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egacyHead2_MediumList2">
    <w:name w:val="LegacyHead2_Medium List 2"/>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List2-Accent1">
    <w:name w:val="LegacyHead2_Medium List 2 Accent 1"/>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List2-Accent2">
    <w:name w:val="LegacyHead2_Medium List 2 Accent 2"/>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List2-Accent3">
    <w:name w:val="LegacyHead2_Medium List 2 Accent 3"/>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List2-Accent4">
    <w:name w:val="LegacyHead2_Medium List 2 Accent 4"/>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List2-Accent5">
    <w:name w:val="LegacyHead2_Medium List 2 Accent 5"/>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List2-Accent6">
    <w:name w:val="LegacyHead2_Medium List 2 Accent 6"/>
    <w:basedOn w:val="LegacyHead2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egacyHead2_MediumGrid1">
    <w:name w:val="LegacyHead2_Medium Grid 1"/>
    <w:basedOn w:val="LegacyHead2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Head2_MediumGrid1-Accent1">
    <w:name w:val="LegacyHead2_Medium Grid 1 Accent 1"/>
    <w:basedOn w:val="LegacyHead2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Head2_MediumGrid1-Accent2">
    <w:name w:val="LegacyHead2_Medium Grid 1 Accent 2"/>
    <w:basedOn w:val="LegacyHead2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Head2_MediumGrid1-Accent3">
    <w:name w:val="LegacyHead2_Medium Grid 1 Accent 3"/>
    <w:basedOn w:val="LegacyHead2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Head2_MediumGrid1-Accent4">
    <w:name w:val="LegacyHead2_Medium Grid 1 Accent 4"/>
    <w:basedOn w:val="LegacyHead2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Head2_MediumGrid1-Accent5">
    <w:name w:val="LegacyHead2_Medium Grid 1 Accent 5"/>
    <w:basedOn w:val="LegacyHead2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Head2_MediumGrid1-Accent6">
    <w:name w:val="LegacyHead2_Medium Grid 1 Accent 6"/>
    <w:basedOn w:val="LegacyHead2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egacyHead2_MediumGrid2">
    <w:name w:val="LegacyHead2_Medium Grid 2"/>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egacyHead2_MediumGrid2-Accent1">
    <w:name w:val="LegacyHead2_Medium Grid 2 Accent 1"/>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egacyHead2_MediumGrid2-Accent2">
    <w:name w:val="LegacyHead2_Medium Grid 2 Accent 2"/>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egacyHead2_MediumGrid2-Accent3">
    <w:name w:val="LegacyHead2_Medium Grid 2 Accent 3"/>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egacyHead2_MediumGrid2-Accent4">
    <w:name w:val="LegacyHead2_Medium Grid 2 Accent 4"/>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egacyHead2_MediumGrid2-Accent5">
    <w:name w:val="LegacyHead2_Medium Grid 2 Accent 5"/>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egacyHead2_MediumGrid2-Accent6">
    <w:name w:val="LegacyHead2_Medium Grid 2 Accent 6"/>
    <w:basedOn w:val="LegacyHead2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egacyHead2_MediumGrid3">
    <w:name w:val="LegacyHead2_Medium Grid 3"/>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egacyHead2_MediumGrid3-Accent1">
    <w:name w:val="LegacyHead2_Medium Grid 3 Accent 1"/>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egacyHead2_MediumGrid3-Accent2">
    <w:name w:val="LegacyHead2_Medium Grid 3 Accent 2"/>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egacyHead2_MediumGrid3-Accent3">
    <w:name w:val="LegacyHead2_Medium Grid 3 Accent 3"/>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egacyHead2_MediumGrid3-Accent4">
    <w:name w:val="LegacyHead2_Medium Grid 3 Accent 4"/>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egacyHead2_MediumGrid3-Accent5">
    <w:name w:val="LegacyHead2_Medium Grid 3 Accent 5"/>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egacyHead2_MediumGrid3-Accent6">
    <w:name w:val="LegacyHead2_Medium Grid 3 Accent 6"/>
    <w:basedOn w:val="LegacyHead2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egacyHead2_DarkList">
    <w:name w:val="LegacyHead2_Dark List"/>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egacyHead2_DarkList-Accent1">
    <w:name w:val="LegacyHead2_Dark List Accent 1"/>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egacyHead2_DarkList-Accent2">
    <w:name w:val="LegacyHead2_Dark List Accent 2"/>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egacyHead2_DarkList-Accent3">
    <w:name w:val="LegacyHead2_Dark List Accent 3"/>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egacyHead2_DarkList-Accent4">
    <w:name w:val="LegacyHead2_Dark List Accent 4"/>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egacyHead2_DarkList-Accent5">
    <w:name w:val="LegacyHead2_Dark List Accent 5"/>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egacyHead2_DarkList-Accent6">
    <w:name w:val="LegacyHead2_Dark List Accent 6"/>
    <w:basedOn w:val="LegacyHead2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egacyHead2_ColorfulShading">
    <w:name w:val="LegacyHead2_Colorful Shading"/>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egacyHead2_ColorfulShading-Accent1">
    <w:name w:val="LegacyHead2_Colorful Shading Accent 1"/>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egacyHead2_ColorfulShading-Accent2">
    <w:name w:val="LegacyHead2_Colorful Shading Accent 2"/>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egacyHead2_ColorfulShading-Accent3">
    <w:name w:val="LegacyHead2_Colorful Shading Accent 3"/>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egacyHead2_ColorfulShading-Accent4">
    <w:name w:val="LegacyHead2_Colorful Shading Accent 4"/>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LegacyHead2_ColorfulShading-Accent5">
    <w:name w:val="LegacyHead2_Colorful Shading Accent 5"/>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egacyHead2_ColorfulShading-Accent6">
    <w:name w:val="LegacyHead2_Colorful Shading Accent 6"/>
    <w:basedOn w:val="LegacyHead2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egacyHead2_ColorfulList">
    <w:name w:val="LegacyHead2_Colorful List"/>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egacyHead2_ColorfulList-Accent1">
    <w:name w:val="LegacyHead2_Colorful List Accent 1"/>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egacyHead2_ColorfulList-Accent2">
    <w:name w:val="LegacyHead2_Colorful List Accent 2"/>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egacyHead2_ColorfulList-Accent3">
    <w:name w:val="LegacyHead2_Colorful List Accent 3"/>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egacyHead2_ColorfulList-Accent4">
    <w:name w:val="LegacyHead2_Colorful List Accent 4"/>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egacyHead2_ColorfulList-Accent5">
    <w:name w:val="LegacyHead2_Colorful List Accent 5"/>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egacyHead2_ColorfulList-Accent6">
    <w:name w:val="LegacyHead2_Colorful List Accent 6"/>
    <w:basedOn w:val="LegacyHead2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egacyHead2_ColorfulGrid">
    <w:name w:val="LegacyHead2_Colorful Grid"/>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egacyHead2_ColorfulGrid-Accent1">
    <w:name w:val="LegacyHead2_Colorful Grid Accent 1"/>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egacyHead2_ColorfulGrid-Accent2">
    <w:name w:val="LegacyHead2_Colorful Grid Accent 2"/>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egacyHead2_ColorfulGrid-Accent3">
    <w:name w:val="LegacyHead2_Colorful Grid Accent 3"/>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egacyHead2_ColorfulGrid-Accent4">
    <w:name w:val="LegacyHead2_Colorful Grid Accent 4"/>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egacyHead2_ColorfulGrid-Accent5">
    <w:name w:val="LegacyHead2_Colorful Grid Accent 5"/>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egacyHead2_ColorfulGrid-Accent6">
    <w:name w:val="LegacyHead2_Colorful Grid Accent 6"/>
    <w:basedOn w:val="LegacyHead2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UXHead_Normal">
    <w:name w:val="UXHead_Normal"/>
    <w:qFormat/>
    <w:rsid w:val="00FC693F"/>
    <w:pPr>
      <w:spacing w:after="120"/>
    </w:pPr>
    <w:rPr>
      <w:rFonts w:ascii="Calibri" w:hAnsi="Calibri"/>
      <w:sz w:val="20"/>
    </w:rPr>
  </w:style>
  <w:style w:type="paragraph" w:styleId="UXHead_Header">
    <w:name w:val="UXHead_header"/>
    <w:basedOn w:val="UXHead_Normal"/>
    <w:link w:val="UXHead_HeaderChar"/>
    <w:uiPriority w:val="99"/>
    <w:unhideWhenUsed/>
    <w:rsid w:val="00E618BF"/>
    <w:pPr>
      <w:tabs>
        <w:tab w:val="center" w:pos="4680"/>
        <w:tab w:val="right" w:pos="9360"/>
      </w:tabs>
      <w:spacing w:after="0" w:line="240" w:lineRule="auto"/>
    </w:pPr>
  </w:style>
  <w:style w:type="character" w:customStyle="1" w:styleId="UXHead_HeaderChar">
    <w:name w:val="UXHead_Header Char"/>
    <w:basedOn w:val="UXHead_DefaultParagraphFont"/>
    <w:link w:val="UXHead_Header"/>
    <w:uiPriority w:val="99"/>
    <w:rsid w:val="00E618BF"/>
  </w:style>
  <w:style w:type="paragraph" w:styleId="UXHead_Footer">
    <w:name w:val="UXHead_footer"/>
    <w:basedOn w:val="UXHead_Normal"/>
    <w:link w:val="UXHead_FooterChar"/>
    <w:uiPriority w:val="99"/>
    <w:unhideWhenUsed/>
    <w:rsid w:val="00E618BF"/>
    <w:pPr>
      <w:tabs>
        <w:tab w:val="center" w:pos="4680"/>
        <w:tab w:val="right" w:pos="9360"/>
      </w:tabs>
      <w:spacing w:after="0" w:line="240" w:lineRule="auto"/>
    </w:pPr>
  </w:style>
  <w:style w:type="character" w:customStyle="1" w:styleId="UXHead_FooterChar">
    <w:name w:val="UXHead_Footer Char"/>
    <w:basedOn w:val="UXHead_DefaultParagraphFont"/>
    <w:link w:val="UXHead_Footer"/>
    <w:uiPriority w:val="99"/>
    <w:rsid w:val="00E618BF"/>
  </w:style>
  <w:style w:type="paragraph" w:styleId="UXHead_Heading1">
    <w:name w:val="UXHead_heading 1"/>
    <w:basedOn w:val="UXHead_Normal"/>
    <w:next w:val="UXHead_Normal"/>
    <w:link w:val="UXHead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UXHead_Heading2">
    <w:name w:val="UXHead_heading 2"/>
    <w:basedOn w:val="UXHead_Normal"/>
    <w:next w:val="UXHead_Normal"/>
    <w:link w:val="UXHead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UXHead_Heading3">
    <w:name w:val="UXHead_heading 3"/>
    <w:basedOn w:val="UXHead_Normal"/>
    <w:next w:val="UXHead_Normal"/>
    <w:link w:val="UXHead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XHead_Heading4">
    <w:name w:val="UXHead_heading 4"/>
    <w:basedOn w:val="UXHead_Normal"/>
    <w:next w:val="UXHead_Normal"/>
    <w:link w:val="UXHead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XHead_Heading5">
    <w:name w:val="UXHead_heading 5"/>
    <w:basedOn w:val="UXHead_Normal"/>
    <w:next w:val="UXHead_Normal"/>
    <w:link w:val="UXHead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XHead_Heading6">
    <w:name w:val="UXHead_heading 6"/>
    <w:basedOn w:val="UXHead_Normal"/>
    <w:next w:val="UXHead_Normal"/>
    <w:link w:val="UXHead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XHead_Heading7">
    <w:name w:val="UXHead_heading 7"/>
    <w:basedOn w:val="UXHead_Normal"/>
    <w:next w:val="UXHead_Normal"/>
    <w:link w:val="UXHead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XHead_Heading8">
    <w:name w:val="UXHead_heading 8"/>
    <w:basedOn w:val="UXHead_Normal"/>
    <w:next w:val="UXHead_Normal"/>
    <w:link w:val="UXHead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XHead_Heading9">
    <w:name w:val="UXHead_heading 9"/>
    <w:basedOn w:val="UXHead_Normal"/>
    <w:next w:val="UXHead_Normal"/>
    <w:link w:val="UXHead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UXHead_DefaultParagraphFont">
    <w:name w:val="UXHead_Default Paragraph Font"/>
    <w:uiPriority w:val="1"/>
    <w:semiHidden/>
    <w:unhideWhenUsed/>
  </w:style>
  <w:style w:type="table" w:default="1" w:styleId="UXHead_TableNormal">
    <w:name w:val="UXHead_Normal Table"/>
    <w:uiPriority w:val="99"/>
    <w:semiHidden/>
    <w:unhideWhenUsed/>
    <w:tblPr>
      <w:tblInd w:w="0" w:type="dxa"/>
      <w:tblCellMar>
        <w:top w:w="0" w:type="dxa"/>
        <w:left w:w="108" w:type="dxa"/>
        <w:bottom w:w="0" w:type="dxa"/>
        <w:right w:w="108" w:type="dxa"/>
      </w:tblCellMar>
    </w:tblPr>
  </w:style>
  <w:style w:type="numbering" w:default="1" w:styleId="UXHead_NoList">
    <w:name w:val="UXHead_No List"/>
    <w:uiPriority w:val="99"/>
    <w:semiHidden/>
    <w:unhideWhenUsed/>
  </w:style>
  <w:style w:type="paragraph" w:styleId="UXHead_NoSpacing">
    <w:name w:val="UXHead_No Spacing"/>
    <w:uiPriority w:val="1"/>
    <w:qFormat/>
    <w:rsid w:val="00FC693F"/>
    <w:pPr>
      <w:spacing w:after="0" w:line="240" w:lineRule="auto"/>
    </w:pPr>
  </w:style>
  <w:style w:type="character" w:customStyle="1" w:styleId="UXHead_Heading1Char">
    <w:name w:val="UXHead_Heading 1 Char"/>
    <w:basedOn w:val="UXHead_DefaultParagraphFont"/>
    <w:link w:val="UXHead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XHead_Heading2Char">
    <w:name w:val="UXHead_Heading 2 Char"/>
    <w:basedOn w:val="UXHead_DefaultParagraphFont"/>
    <w:link w:val="UXHead_Heading2"/>
    <w:uiPriority w:val="9"/>
    <w:rsid w:val="00FC693F"/>
    <w:rPr>
      <w:rFonts w:asciiTheme="majorHAnsi" w:eastAsiaTheme="majorEastAsia" w:hAnsiTheme="majorHAnsi" w:cstheme="majorBidi"/>
      <w:b/>
      <w:bCs/>
      <w:color w:val="4F81BD" w:themeColor="accent1"/>
      <w:sz w:val="26"/>
      <w:szCs w:val="26"/>
    </w:rPr>
  </w:style>
  <w:style w:type="character" w:customStyle="1" w:styleId="UXHead_Heading3Char">
    <w:name w:val="UXHead_Heading 3 Char"/>
    <w:basedOn w:val="UXHead_DefaultParagraphFont"/>
    <w:link w:val="UXHead_Heading3"/>
    <w:uiPriority w:val="9"/>
    <w:rsid w:val="00FC693F"/>
    <w:rPr>
      <w:rFonts w:asciiTheme="majorHAnsi" w:eastAsiaTheme="majorEastAsia" w:hAnsiTheme="majorHAnsi" w:cstheme="majorBidi"/>
      <w:b/>
      <w:bCs/>
      <w:color w:val="4F81BD" w:themeColor="accent1"/>
    </w:rPr>
  </w:style>
  <w:style w:type="paragraph" w:styleId="UXHead_Title">
    <w:name w:val="UXHead_Title"/>
    <w:basedOn w:val="UXHead_Normal"/>
    <w:next w:val="UXHead_Normal"/>
    <w:link w:val="UXHead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UXHead_TitleChar">
    <w:name w:val="UXHead_Title Char"/>
    <w:basedOn w:val="UXHead_DefaultParagraphFont"/>
    <w:link w:val="UXHead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XHead_Subtitle">
    <w:name w:val="UXHead_Subtitle"/>
    <w:basedOn w:val="UXHead_Normal"/>
    <w:next w:val="UXHead_Normal"/>
    <w:link w:val="UXHead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XHead_SubtitleChar">
    <w:name w:val="UXHead_Subtitle Char"/>
    <w:basedOn w:val="UXHead_DefaultParagraphFont"/>
    <w:link w:val="UXHead_Subtitle"/>
    <w:uiPriority w:val="11"/>
    <w:rsid w:val="00FC693F"/>
    <w:rPr>
      <w:rFonts w:asciiTheme="majorHAnsi" w:eastAsiaTheme="majorEastAsia" w:hAnsiTheme="majorHAnsi" w:cstheme="majorBidi"/>
      <w:i/>
      <w:iCs/>
      <w:color w:val="4F81BD" w:themeColor="accent1"/>
      <w:spacing w:val="15"/>
      <w:sz w:val="24"/>
      <w:szCs w:val="24"/>
    </w:rPr>
  </w:style>
  <w:style w:type="paragraph" w:styleId="UXHead_ListParagraph">
    <w:name w:val="UXHead_List Paragraph"/>
    <w:basedOn w:val="UXHead_Normal"/>
    <w:uiPriority w:val="34"/>
    <w:qFormat/>
    <w:rsid w:val="00FC693F"/>
    <w:pPr>
      <w:ind w:left="720"/>
      <w:contextualSpacing/>
    </w:pPr>
  </w:style>
  <w:style w:type="paragraph" w:styleId="UXHead_BodyText">
    <w:name w:val="UXHead_Body Text"/>
    <w:basedOn w:val="UXHead_Normal"/>
    <w:link w:val="UXHead_BodyTextChar"/>
    <w:uiPriority w:val="99"/>
    <w:unhideWhenUsed/>
    <w:rsid w:val="00AA1D8D"/>
    <w:pPr>
      <w:spacing w:after="120"/>
    </w:pPr>
  </w:style>
  <w:style w:type="character" w:customStyle="1" w:styleId="UXHead_BodyTextChar">
    <w:name w:val="UXHead_Body Text Char"/>
    <w:basedOn w:val="UXHead_DefaultParagraphFont"/>
    <w:link w:val="UXHead_BodyText"/>
    <w:uiPriority w:val="99"/>
    <w:rsid w:val="00AA1D8D"/>
  </w:style>
  <w:style w:type="paragraph" w:styleId="UXHead_BodyText2">
    <w:name w:val="UXHead_Body Text 2"/>
    <w:basedOn w:val="UXHead_Normal"/>
    <w:link w:val="UXHead_BodyText2Char"/>
    <w:uiPriority w:val="99"/>
    <w:unhideWhenUsed/>
    <w:rsid w:val="00AA1D8D"/>
    <w:pPr>
      <w:spacing w:after="120" w:line="480" w:lineRule="auto"/>
    </w:pPr>
  </w:style>
  <w:style w:type="character" w:customStyle="1" w:styleId="UXHead_BodyText2Char">
    <w:name w:val="UXHead_Body Text 2 Char"/>
    <w:basedOn w:val="UXHead_DefaultParagraphFont"/>
    <w:link w:val="UXHead_BodyText2"/>
    <w:uiPriority w:val="99"/>
    <w:rsid w:val="00AA1D8D"/>
  </w:style>
  <w:style w:type="paragraph" w:styleId="UXHead_BodyText3">
    <w:name w:val="UXHead_Body Text 3"/>
    <w:basedOn w:val="UXHead_Normal"/>
    <w:link w:val="UXHead_BodyText3Char"/>
    <w:uiPriority w:val="99"/>
    <w:unhideWhenUsed/>
    <w:rsid w:val="00AA1D8D"/>
    <w:pPr>
      <w:spacing w:after="120"/>
    </w:pPr>
    <w:rPr>
      <w:sz w:val="16"/>
      <w:szCs w:val="16"/>
    </w:rPr>
  </w:style>
  <w:style w:type="character" w:customStyle="1" w:styleId="UXHead_BodyText3Char">
    <w:name w:val="UXHead_Body Text 3 Char"/>
    <w:basedOn w:val="UXHead_DefaultParagraphFont"/>
    <w:link w:val="UXHead_BodyText3"/>
    <w:uiPriority w:val="99"/>
    <w:rsid w:val="00AA1D8D"/>
    <w:rPr>
      <w:sz w:val="16"/>
      <w:szCs w:val="16"/>
    </w:rPr>
  </w:style>
  <w:style w:type="paragraph" w:styleId="UXHead_List">
    <w:name w:val="UXHead_List"/>
    <w:basedOn w:val="UXHead_Normal"/>
    <w:uiPriority w:val="99"/>
    <w:unhideWhenUsed/>
    <w:rsid w:val="00AA1D8D"/>
    <w:pPr>
      <w:ind w:left="360" w:hanging="360"/>
      <w:contextualSpacing/>
    </w:pPr>
  </w:style>
  <w:style w:type="paragraph" w:styleId="UXHead_List2">
    <w:name w:val="UXHead_List 2"/>
    <w:basedOn w:val="UXHead_Normal"/>
    <w:uiPriority w:val="99"/>
    <w:unhideWhenUsed/>
    <w:rsid w:val="00326F90"/>
    <w:pPr>
      <w:ind w:left="720" w:hanging="360"/>
      <w:contextualSpacing/>
    </w:pPr>
  </w:style>
  <w:style w:type="paragraph" w:styleId="UXHead_List3">
    <w:name w:val="UXHead_List 3"/>
    <w:basedOn w:val="UXHead_Normal"/>
    <w:uiPriority w:val="99"/>
    <w:unhideWhenUsed/>
    <w:rsid w:val="00326F90"/>
    <w:pPr>
      <w:ind w:left="1080" w:hanging="360"/>
      <w:contextualSpacing/>
    </w:pPr>
  </w:style>
  <w:style w:type="paragraph" w:styleId="UXHead_ListBullet">
    <w:name w:val="UXHead_List Bullet"/>
    <w:basedOn w:val="UXHead_Normal"/>
    <w:uiPriority w:val="99"/>
    <w:unhideWhenUsed/>
    <w:rsid w:val="00326F90"/>
    <w:pPr>
      <w:numPr>
        <w:numId w:val="1"/>
      </w:numPr>
      <w:contextualSpacing/>
    </w:pPr>
  </w:style>
  <w:style w:type="paragraph" w:styleId="UXHead_ListBullet2">
    <w:name w:val="UXHead_List Bullet 2"/>
    <w:basedOn w:val="UXHead_Normal"/>
    <w:uiPriority w:val="99"/>
    <w:unhideWhenUsed/>
    <w:rsid w:val="00326F90"/>
    <w:pPr>
      <w:numPr>
        <w:numId w:val="2"/>
      </w:numPr>
      <w:contextualSpacing/>
    </w:pPr>
  </w:style>
  <w:style w:type="paragraph" w:styleId="UXHead_ListBullet3">
    <w:name w:val="UXHead_List Bullet 3"/>
    <w:basedOn w:val="UXHead_Normal"/>
    <w:uiPriority w:val="99"/>
    <w:unhideWhenUsed/>
    <w:rsid w:val="00326F90"/>
    <w:pPr>
      <w:numPr>
        <w:numId w:val="3"/>
      </w:numPr>
      <w:contextualSpacing/>
    </w:pPr>
  </w:style>
  <w:style w:type="paragraph" w:styleId="UXHead_ListNumber">
    <w:name w:val="UXHead_List Number"/>
    <w:basedOn w:val="UXHead_Normal"/>
    <w:uiPriority w:val="99"/>
    <w:unhideWhenUsed/>
    <w:rsid w:val="00326F90"/>
    <w:pPr>
      <w:numPr>
        <w:numId w:val="5"/>
      </w:numPr>
      <w:contextualSpacing/>
    </w:pPr>
  </w:style>
  <w:style w:type="paragraph" w:styleId="UXHead_ListNumber2">
    <w:name w:val="UXHead_List Number 2"/>
    <w:basedOn w:val="UXHead_Normal"/>
    <w:uiPriority w:val="99"/>
    <w:unhideWhenUsed/>
    <w:rsid w:val="0029639D"/>
    <w:pPr>
      <w:numPr>
        <w:numId w:val="6"/>
      </w:numPr>
      <w:contextualSpacing/>
    </w:pPr>
  </w:style>
  <w:style w:type="paragraph" w:styleId="UXHead_ListNumber3">
    <w:name w:val="UXHead_List Number 3"/>
    <w:basedOn w:val="UXHead_Normal"/>
    <w:uiPriority w:val="99"/>
    <w:unhideWhenUsed/>
    <w:rsid w:val="0029639D"/>
    <w:pPr>
      <w:numPr>
        <w:numId w:val="7"/>
      </w:numPr>
      <w:contextualSpacing/>
    </w:pPr>
  </w:style>
  <w:style w:type="paragraph" w:styleId="UXHead_ListContinue">
    <w:name w:val="UXHead_List Continue"/>
    <w:basedOn w:val="UXHead_Normal"/>
    <w:uiPriority w:val="99"/>
    <w:unhideWhenUsed/>
    <w:rsid w:val="0029639D"/>
    <w:pPr>
      <w:spacing w:after="120"/>
      <w:ind w:left="360"/>
      <w:contextualSpacing/>
    </w:pPr>
  </w:style>
  <w:style w:type="paragraph" w:styleId="UXHead_ListContinue2">
    <w:name w:val="UXHead_List Continue 2"/>
    <w:basedOn w:val="UXHead_Normal"/>
    <w:uiPriority w:val="99"/>
    <w:unhideWhenUsed/>
    <w:rsid w:val="0029639D"/>
    <w:pPr>
      <w:spacing w:after="120"/>
      <w:ind w:left="720"/>
      <w:contextualSpacing/>
    </w:pPr>
  </w:style>
  <w:style w:type="paragraph" w:styleId="UXHead_ListContinue3">
    <w:name w:val="UXHead_List Continue 3"/>
    <w:basedOn w:val="UXHead_Normal"/>
    <w:uiPriority w:val="99"/>
    <w:unhideWhenUsed/>
    <w:rsid w:val="0029639D"/>
    <w:pPr>
      <w:spacing w:after="120"/>
      <w:ind w:left="1080"/>
      <w:contextualSpacing/>
    </w:pPr>
  </w:style>
  <w:style w:type="paragraph" w:styleId="UXHead_MacroText">
    <w:name w:val="UXHead_macro"/>
    <w:link w:val="UXHead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UXHead_MacroTextChar">
    <w:name w:val="UXHead_Macro Text Char"/>
    <w:basedOn w:val="UXHead_DefaultParagraphFont"/>
    <w:link w:val="UXHead_MacroText"/>
    <w:uiPriority w:val="99"/>
    <w:rsid w:val="0029639D"/>
    <w:rPr>
      <w:rFonts w:ascii="Courier" w:hAnsi="Courier"/>
      <w:sz w:val="20"/>
      <w:szCs w:val="20"/>
    </w:rPr>
  </w:style>
  <w:style w:type="paragraph" w:styleId="UXHead_Quote">
    <w:name w:val="UXHead_Quote"/>
    <w:basedOn w:val="UXHead_Normal"/>
    <w:next w:val="UXHead_Normal"/>
    <w:link w:val="UXHead_QuoteChar"/>
    <w:uiPriority w:val="29"/>
    <w:qFormat/>
    <w:rsid w:val="00FC693F"/>
    <w:rPr>
      <w:i/>
      <w:iCs/>
      <w:color w:val="000000" w:themeColor="text1"/>
    </w:rPr>
  </w:style>
  <w:style w:type="character" w:customStyle="1" w:styleId="UXHead_QuoteChar">
    <w:name w:val="UXHead_Quote Char"/>
    <w:basedOn w:val="UXHead_DefaultParagraphFont"/>
    <w:link w:val="UXHead_Quote"/>
    <w:uiPriority w:val="29"/>
    <w:rsid w:val="00FC693F"/>
    <w:rPr>
      <w:i/>
      <w:iCs/>
      <w:color w:val="000000" w:themeColor="text1"/>
    </w:rPr>
  </w:style>
  <w:style w:type="character" w:customStyle="1" w:styleId="UXHead_Heading4Char">
    <w:name w:val="UXHead_Heading 4 Char"/>
    <w:basedOn w:val="UXHead_DefaultParagraphFont"/>
    <w:link w:val="UXHead_Heading4"/>
    <w:uiPriority w:val="9"/>
    <w:semiHidden/>
    <w:rsid w:val="00FC693F"/>
    <w:rPr>
      <w:rFonts w:asciiTheme="majorHAnsi" w:eastAsiaTheme="majorEastAsia" w:hAnsiTheme="majorHAnsi" w:cstheme="majorBidi"/>
      <w:b/>
      <w:bCs/>
      <w:i/>
      <w:iCs/>
      <w:color w:val="4F81BD" w:themeColor="accent1"/>
    </w:rPr>
  </w:style>
  <w:style w:type="character" w:customStyle="1" w:styleId="UXHead_Heading5Char">
    <w:name w:val="UXHead_Heading 5 Char"/>
    <w:basedOn w:val="UXHead_DefaultParagraphFont"/>
    <w:link w:val="UXHead_Heading5"/>
    <w:uiPriority w:val="9"/>
    <w:semiHidden/>
    <w:rsid w:val="00FC693F"/>
    <w:rPr>
      <w:rFonts w:asciiTheme="majorHAnsi" w:eastAsiaTheme="majorEastAsia" w:hAnsiTheme="majorHAnsi" w:cstheme="majorBidi"/>
      <w:color w:val="243F60" w:themeColor="accent1" w:themeShade="7F"/>
    </w:rPr>
  </w:style>
  <w:style w:type="character" w:customStyle="1" w:styleId="UXHead_Heading6Char">
    <w:name w:val="UXHead_Heading 6 Char"/>
    <w:basedOn w:val="UXHead_DefaultParagraphFont"/>
    <w:link w:val="UXHead_Heading6"/>
    <w:uiPriority w:val="9"/>
    <w:semiHidden/>
    <w:rsid w:val="00FC693F"/>
    <w:rPr>
      <w:rFonts w:asciiTheme="majorHAnsi" w:eastAsiaTheme="majorEastAsia" w:hAnsiTheme="majorHAnsi" w:cstheme="majorBidi"/>
      <w:i/>
      <w:iCs/>
      <w:color w:val="243F60" w:themeColor="accent1" w:themeShade="7F"/>
    </w:rPr>
  </w:style>
  <w:style w:type="character" w:customStyle="1" w:styleId="UXHead_Heading7Char">
    <w:name w:val="UXHead_Heading 7 Char"/>
    <w:basedOn w:val="UXHead_DefaultParagraphFont"/>
    <w:link w:val="UXHead_Heading7"/>
    <w:uiPriority w:val="9"/>
    <w:semiHidden/>
    <w:rsid w:val="00FC693F"/>
    <w:rPr>
      <w:rFonts w:asciiTheme="majorHAnsi" w:eastAsiaTheme="majorEastAsia" w:hAnsiTheme="majorHAnsi" w:cstheme="majorBidi"/>
      <w:i/>
      <w:iCs/>
      <w:color w:val="404040" w:themeColor="text1" w:themeTint="BF"/>
    </w:rPr>
  </w:style>
  <w:style w:type="character" w:customStyle="1" w:styleId="UXHead_Heading8Char">
    <w:name w:val="UXHead_Heading 8 Char"/>
    <w:basedOn w:val="UXHead_DefaultParagraphFont"/>
    <w:link w:val="UXHead_Heading8"/>
    <w:uiPriority w:val="9"/>
    <w:semiHidden/>
    <w:rsid w:val="00FC693F"/>
    <w:rPr>
      <w:rFonts w:asciiTheme="majorHAnsi" w:eastAsiaTheme="majorEastAsia" w:hAnsiTheme="majorHAnsi" w:cstheme="majorBidi"/>
      <w:color w:val="4F81BD" w:themeColor="accent1"/>
      <w:sz w:val="20"/>
      <w:szCs w:val="20"/>
    </w:rPr>
  </w:style>
  <w:style w:type="character" w:customStyle="1" w:styleId="UXHead_Heading9Char">
    <w:name w:val="UXHead_Heading 9 Char"/>
    <w:basedOn w:val="UXHead_DefaultParagraphFont"/>
    <w:link w:val="UXHead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UXHead_Caption">
    <w:name w:val="UXHead_caption"/>
    <w:basedOn w:val="UXHead_Normal"/>
    <w:next w:val="UXHead_Normal"/>
    <w:uiPriority w:val="35"/>
    <w:semiHidden/>
    <w:unhideWhenUsed/>
    <w:qFormat/>
    <w:rsid w:val="00FC693F"/>
    <w:pPr>
      <w:spacing w:line="240" w:lineRule="auto"/>
    </w:pPr>
    <w:rPr>
      <w:b/>
      <w:bCs/>
      <w:color w:val="4F81BD" w:themeColor="accent1"/>
      <w:sz w:val="18"/>
      <w:szCs w:val="18"/>
    </w:rPr>
  </w:style>
  <w:style w:type="character" w:styleId="UXHead_Strong">
    <w:name w:val="UXHead_Strong"/>
    <w:basedOn w:val="UXHead_DefaultParagraphFont"/>
    <w:uiPriority w:val="22"/>
    <w:qFormat/>
    <w:rsid w:val="00FC693F"/>
    <w:rPr>
      <w:b/>
      <w:bCs/>
    </w:rPr>
  </w:style>
  <w:style w:type="character" w:styleId="UXHead_Emphasis">
    <w:name w:val="UXHead_Emphasis"/>
    <w:basedOn w:val="UXHead_DefaultParagraphFont"/>
    <w:uiPriority w:val="20"/>
    <w:qFormat/>
    <w:rsid w:val="00FC693F"/>
    <w:rPr>
      <w:i/>
      <w:iCs/>
    </w:rPr>
  </w:style>
  <w:style w:type="paragraph" w:styleId="UXHead_IntenseQuote">
    <w:name w:val="UXHead_Intense Quote"/>
    <w:basedOn w:val="UXHead_Normal"/>
    <w:next w:val="UXHead_Normal"/>
    <w:link w:val="UXHead_IntenseQuoteChar"/>
    <w:uiPriority w:val="30"/>
    <w:qFormat/>
    <w:rsid w:val="00FC693F"/>
    <w:pPr>
      <w:spacing w:before="200" w:after="280"/>
      <w:ind w:left="936" w:right="936"/>
    </w:pPr>
    <w:rPr>
      <w:b/>
      <w:bCs/>
      <w:i/>
      <w:iCs/>
      <w:color w:val="4F81BD" w:themeColor="accent1"/>
    </w:rPr>
  </w:style>
  <w:style w:type="character" w:customStyle="1" w:styleId="UXHead_IntenseQuoteChar">
    <w:name w:val="UXHead_Intense Quote Char"/>
    <w:basedOn w:val="UXHead_DefaultParagraphFont"/>
    <w:link w:val="UXHead_IntenseQuote"/>
    <w:uiPriority w:val="30"/>
    <w:rsid w:val="00FC693F"/>
    <w:rPr>
      <w:b/>
      <w:bCs/>
      <w:i/>
      <w:iCs/>
      <w:color w:val="4F81BD" w:themeColor="accent1"/>
    </w:rPr>
  </w:style>
  <w:style w:type="character" w:styleId="UXHead_SubtleEmphasis">
    <w:name w:val="UXHead_Subtle Emphasis"/>
    <w:basedOn w:val="UXHead_DefaultParagraphFont"/>
    <w:uiPriority w:val="19"/>
    <w:qFormat/>
    <w:rsid w:val="00FC693F"/>
    <w:rPr>
      <w:i/>
      <w:iCs/>
      <w:color w:val="808080" w:themeColor="text1" w:themeTint="7F"/>
    </w:rPr>
  </w:style>
  <w:style w:type="character" w:styleId="UXHead_IntenseEmphasis">
    <w:name w:val="UXHead_Intense Emphasis"/>
    <w:basedOn w:val="UXHead_DefaultParagraphFont"/>
    <w:uiPriority w:val="21"/>
    <w:qFormat/>
    <w:rsid w:val="00FC693F"/>
    <w:rPr>
      <w:b/>
      <w:bCs/>
      <w:i/>
      <w:iCs/>
      <w:color w:val="4F81BD" w:themeColor="accent1"/>
    </w:rPr>
  </w:style>
  <w:style w:type="character" w:styleId="UXHead_SubtleReference">
    <w:name w:val="UXHead_Subtle Reference"/>
    <w:basedOn w:val="UXHead_DefaultParagraphFont"/>
    <w:uiPriority w:val="31"/>
    <w:qFormat/>
    <w:rsid w:val="00FC693F"/>
    <w:rPr>
      <w:smallCaps/>
      <w:color w:val="C0504D" w:themeColor="accent2"/>
      <w:u w:val="single"/>
    </w:rPr>
  </w:style>
  <w:style w:type="character" w:styleId="UXHead_IntenseReference">
    <w:name w:val="UXHead_Intense Reference"/>
    <w:basedOn w:val="UXHead_DefaultParagraphFont"/>
    <w:uiPriority w:val="32"/>
    <w:qFormat/>
    <w:rsid w:val="00FC693F"/>
    <w:rPr>
      <w:b/>
      <w:bCs/>
      <w:smallCaps/>
      <w:color w:val="C0504D" w:themeColor="accent2"/>
      <w:spacing w:val="5"/>
      <w:u w:val="single"/>
    </w:rPr>
  </w:style>
  <w:style w:type="character" w:styleId="UXHead_BookTitle">
    <w:name w:val="UXHead_Book Title"/>
    <w:basedOn w:val="UXHead_DefaultParagraphFont"/>
    <w:uiPriority w:val="33"/>
    <w:qFormat/>
    <w:rsid w:val="00FC693F"/>
    <w:rPr>
      <w:b/>
      <w:bCs/>
      <w:smallCaps/>
      <w:spacing w:val="5"/>
    </w:rPr>
  </w:style>
  <w:style w:type="paragraph" w:styleId="UXHead_TOCHeading">
    <w:name w:val="UXHead_TOC Heading"/>
    <w:basedOn w:val="UXHead_Heading1"/>
    <w:next w:val="UXHead_Normal"/>
    <w:uiPriority w:val="39"/>
    <w:semiHidden/>
    <w:unhideWhenUsed/>
    <w:qFormat/>
    <w:rsid w:val="00FC693F"/>
    <w:pPr>
      <w:outlineLvl w:val="9"/>
    </w:pPr>
  </w:style>
  <w:style w:type="table" w:styleId="UXHead_TableGrid">
    <w:name w:val="UXHead_Table Grid"/>
    <w:basedOn w:val="UXHead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XHead_LightShading">
    <w:name w:val="UXHead_Light Shading"/>
    <w:basedOn w:val="UXHead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XHead_LightShading-Accent1">
    <w:name w:val="UXHead_Light Shading Accent 1"/>
    <w:basedOn w:val="UXHead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XHead_LightShading-Accent2">
    <w:name w:val="UXHead_Light Shading Accent 2"/>
    <w:basedOn w:val="UXHead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XHead_LightShading-Accent3">
    <w:name w:val="UXHead_Light Shading Accent 3"/>
    <w:basedOn w:val="UXHead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XHead_LightShading-Accent4">
    <w:name w:val="UXHead_Light Shading Accent 4"/>
    <w:basedOn w:val="UXHead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XHead_LightShading-Accent5">
    <w:name w:val="UXHead_Light Shading Accent 5"/>
    <w:basedOn w:val="UXHead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XHead_LightShading-Accent6">
    <w:name w:val="UXHead_Light Shading Accent 6"/>
    <w:basedOn w:val="UXHead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UXHead_LightList">
    <w:name w:val="UXHead_Light List"/>
    <w:basedOn w:val="UXHead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UXHead_LightList-Accent1">
    <w:name w:val="UXHead_Light List Accent 1"/>
    <w:basedOn w:val="UXHead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UXHead_LightList-Accent2">
    <w:name w:val="UXHead_Light List Accent 2"/>
    <w:basedOn w:val="UXHead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UXHead_LightList-Accent3">
    <w:name w:val="UXHead_Light List Accent 3"/>
    <w:basedOn w:val="UXHead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UXHead_LightList-Accent4">
    <w:name w:val="UXHead_Light List Accent 4"/>
    <w:basedOn w:val="UXHead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UXHead_LightList-Accent5">
    <w:name w:val="UXHead_Light List Accent 5"/>
    <w:basedOn w:val="UXHead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UXHead_LightList-Accent6">
    <w:name w:val="UXHead_Light List Accent 6"/>
    <w:basedOn w:val="UXHead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UXHead_LightGrid">
    <w:name w:val="UXHead_Light Grid"/>
    <w:basedOn w:val="UXHead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UXHead_LightGrid-Accent1">
    <w:name w:val="UXHead_Light Grid Accent 1"/>
    <w:basedOn w:val="UXHead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UXHead_LightGrid-Accent2">
    <w:name w:val="UXHead_Light Grid Accent 2"/>
    <w:basedOn w:val="UXHead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UXHead_LightGrid-Accent3">
    <w:name w:val="UXHead_Light Grid Accent 3"/>
    <w:basedOn w:val="UXHead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UXHead_LightGrid-Accent4">
    <w:name w:val="UXHead_Light Grid Accent 4"/>
    <w:basedOn w:val="UXHead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UXHead_LightGrid-Accent5">
    <w:name w:val="UXHead_Light Grid Accent 5"/>
    <w:basedOn w:val="UXHead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UXHead_LightGrid-Accent6">
    <w:name w:val="UXHead_Light Grid Accent 6"/>
    <w:basedOn w:val="UXHead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XHead_MediumShading1">
    <w:name w:val="UXHead_Medium Shading 1"/>
    <w:basedOn w:val="UXHead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XHead_MediumShading1-Accent1">
    <w:name w:val="UXHead_Medium Shading 1 Accent 1"/>
    <w:basedOn w:val="UXHead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XHead_MediumShading1-Accent2">
    <w:name w:val="UXHead_Medium Shading 1 Accent 2"/>
    <w:basedOn w:val="UXHead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XHead_MediumShading1-Accent3">
    <w:name w:val="UXHead_Medium Shading 1 Accent 3"/>
    <w:basedOn w:val="UXHead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XHead_MediumShading1-Accent4">
    <w:name w:val="UXHead_Medium Shading 1 Accent 4"/>
    <w:basedOn w:val="UXHead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XHead_MediumShading1-Accent5">
    <w:name w:val="UXHead_Medium Shading 1 Accent 5"/>
    <w:basedOn w:val="UXHead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XHead_MediumShading1-Accent6">
    <w:name w:val="UXHead_Medium Shading 1 Accent 6"/>
    <w:basedOn w:val="UXHead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XHead_MediumShading2">
    <w:name w:val="UXHead_Medium Shading 2"/>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Shading2-Accent1">
    <w:name w:val="UXHead_Medium Shading 2 Accent 1"/>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Shading2-Accent2">
    <w:name w:val="UXHead_Medium Shading 2 Accent 2"/>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Shading2-Accent3">
    <w:name w:val="UXHead_Medium Shading 2 Accent 3"/>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Shading2-Accent4">
    <w:name w:val="UXHead_Medium Shading 2 Accent 4"/>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Shading2-Accent5">
    <w:name w:val="UXHead_Medium Shading 2 Accent 5"/>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Shading2-Accent6">
    <w:name w:val="UXHead_Medium Shading 2 Accent 6"/>
    <w:basedOn w:val="UXHead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Head_MediumList1">
    <w:name w:val="UXHead_Medium List 1"/>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UXHead_MediumList1-Accent1">
    <w:name w:val="UXHead_Medium List 1 Accent 1"/>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UXHead_MediumList1-Accent2">
    <w:name w:val="UXHead_Medium List 1 Accent 2"/>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UXHead_MediumList1-Accent3">
    <w:name w:val="UXHead_Medium List 1 Accent 3"/>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UXHead_MediumList1-Accent4">
    <w:name w:val="UXHead_Medium List 1 Accent 4"/>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UXHead_MediumList1-Accent5">
    <w:name w:val="UXHead_Medium List 1 Accent 5"/>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UXHead_MediumList1-Accent6">
    <w:name w:val="UXHead_Medium List 1 Accent 6"/>
    <w:basedOn w:val="UXHead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UXHead_MediumList2">
    <w:name w:val="UXHead_Medium List 2"/>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List2-Accent1">
    <w:name w:val="UXHead_Medium List 2 Accent 1"/>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List2-Accent2">
    <w:name w:val="UXHead_Medium List 2 Accent 2"/>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List2-Accent3">
    <w:name w:val="UXHead_Medium List 2 Accent 3"/>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List2-Accent4">
    <w:name w:val="UXHead_Medium List 2 Accent 4"/>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List2-Accent5">
    <w:name w:val="UXHead_Medium List 2 Accent 5"/>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List2-Accent6">
    <w:name w:val="UXHead_Medium List 2 Accent 6"/>
    <w:basedOn w:val="UXHead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UXHead_MediumGrid1">
    <w:name w:val="UXHead_Medium Grid 1"/>
    <w:basedOn w:val="UXHead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UXHead_MediumGrid1-Accent1">
    <w:name w:val="UXHead_Medium Grid 1 Accent 1"/>
    <w:basedOn w:val="UXHead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UXHead_MediumGrid1-Accent2">
    <w:name w:val="UXHead_Medium Grid 1 Accent 2"/>
    <w:basedOn w:val="UXHead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UXHead_MediumGrid1-Accent3">
    <w:name w:val="UXHead_Medium Grid 1 Accent 3"/>
    <w:basedOn w:val="UXHead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UXHead_MediumGrid1-Accent4">
    <w:name w:val="UXHead_Medium Grid 1 Accent 4"/>
    <w:basedOn w:val="UXHead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UXHead_MediumGrid1-Accent5">
    <w:name w:val="UXHead_Medium Grid 1 Accent 5"/>
    <w:basedOn w:val="UXHead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UXHead_MediumGrid1-Accent6">
    <w:name w:val="UXHead_Medium Grid 1 Accent 6"/>
    <w:basedOn w:val="UXHead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UXHead_MediumGrid2">
    <w:name w:val="UXHead_Medium Grid 2"/>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UXHead_MediumGrid2-Accent1">
    <w:name w:val="UXHead_Medium Grid 2 Accent 1"/>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UXHead_MediumGrid2-Accent2">
    <w:name w:val="UXHead_Medium Grid 2 Accent 2"/>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UXHead_MediumGrid2-Accent3">
    <w:name w:val="UXHead_Medium Grid 2 Accent 3"/>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UXHead_MediumGrid2-Accent4">
    <w:name w:val="UXHead_Medium Grid 2 Accent 4"/>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UXHead_MediumGrid2-Accent5">
    <w:name w:val="UXHead_Medium Grid 2 Accent 5"/>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UXHead_MediumGrid2-Accent6">
    <w:name w:val="UXHead_Medium Grid 2 Accent 6"/>
    <w:basedOn w:val="UXHead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UXHead_MediumGrid3">
    <w:name w:val="UXHead_Medium Grid 3"/>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UXHead_MediumGrid3-Accent1">
    <w:name w:val="UXHead_Medium Grid 3 Accent 1"/>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UXHead_MediumGrid3-Accent2">
    <w:name w:val="UXHead_Medium Grid 3 Accent 2"/>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UXHead_MediumGrid3-Accent3">
    <w:name w:val="UXHead_Medium Grid 3 Accent 3"/>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UXHead_MediumGrid3-Accent4">
    <w:name w:val="UXHead_Medium Grid 3 Accent 4"/>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UXHead_MediumGrid3-Accent5">
    <w:name w:val="UXHead_Medium Grid 3 Accent 5"/>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UXHead_MediumGrid3-Accent6">
    <w:name w:val="UXHead_Medium Grid 3 Accent 6"/>
    <w:basedOn w:val="UXHead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UXHead_DarkList">
    <w:name w:val="UXHead_Dark List"/>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UXHead_DarkList-Accent1">
    <w:name w:val="UXHead_Dark List Accent 1"/>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UXHead_DarkList-Accent2">
    <w:name w:val="UXHead_Dark List Accent 2"/>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UXHead_DarkList-Accent3">
    <w:name w:val="UXHead_Dark List Accent 3"/>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UXHead_DarkList-Accent4">
    <w:name w:val="UXHead_Dark List Accent 4"/>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UXHead_DarkList-Accent5">
    <w:name w:val="UXHead_Dark List Accent 5"/>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UXHead_DarkList-Accent6">
    <w:name w:val="UXHead_Dark List Accent 6"/>
    <w:basedOn w:val="UXHead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XHead_ColorfulShading">
    <w:name w:val="UXHead_Colorful Shading"/>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XHead_ColorfulShading-Accent1">
    <w:name w:val="UXHead_Colorful Shading Accent 1"/>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XHead_ColorfulShading-Accent2">
    <w:name w:val="UXHead_Colorful Shading Accent 2"/>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XHead_ColorfulShading-Accent3">
    <w:name w:val="UXHead_Colorful Shading Accent 3"/>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XHead_ColorfulShading-Accent4">
    <w:name w:val="UXHead_Colorful Shading Accent 4"/>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XHead_ColorfulShading-Accent5">
    <w:name w:val="UXHead_Colorful Shading Accent 5"/>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XHead_ColorfulShading-Accent6">
    <w:name w:val="UXHead_Colorful Shading Accent 6"/>
    <w:basedOn w:val="UXHead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UXHead_ColorfulList">
    <w:name w:val="UXHead_Colorful List"/>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UXHead_ColorfulList-Accent1">
    <w:name w:val="UXHead_Colorful List Accent 1"/>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UXHead_ColorfulList-Accent2">
    <w:name w:val="UXHead_Colorful List Accent 2"/>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UXHead_ColorfulList-Accent3">
    <w:name w:val="UXHead_Colorful List Accent 3"/>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UXHead_ColorfulList-Accent4">
    <w:name w:val="UXHead_Colorful List Accent 4"/>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UXHead_ColorfulList-Accent5">
    <w:name w:val="UXHead_Colorful List Accent 5"/>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UXHead_ColorfulList-Accent6">
    <w:name w:val="UXHead_Colorful List Accent 6"/>
    <w:basedOn w:val="UXHead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UXHead_ColorfulGrid">
    <w:name w:val="UXHead_Colorful Grid"/>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UXHead_ColorfulGrid-Accent1">
    <w:name w:val="UXHead_Colorful Grid Accent 1"/>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UXHead_ColorfulGrid-Accent2">
    <w:name w:val="UXHead_Colorful Grid Accent 2"/>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UXHead_ColorfulGrid-Accent3">
    <w:name w:val="UXHead_Colorful Grid Accent 3"/>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UXHead_ColorfulGrid-Accent4">
    <w:name w:val="UXHead_Colorful Grid Accent 4"/>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UXHead_ColorfulGrid-Accent5">
    <w:name w:val="UXHead_Colorful Grid Accent 5"/>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UXHead_ColorfulGrid-Accent6">
    <w:name w:val="UXHead_Colorful Grid Accent 6"/>
    <w:basedOn w:val="UXHead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UX_Normal">
    <w:name w:val="UX_Normal"/>
    <w:qFormat/>
    <w:rsid w:val="00FC693F"/>
    <w:pPr>
      <w:spacing w:after="120" w:line="254" w:lineRule="auto"/>
    </w:pPr>
    <w:rPr>
      <w:rFonts w:ascii="Calibri" w:hAnsi="Calibri"/>
      <w:sz w:val="21"/>
    </w:rPr>
  </w:style>
  <w:style w:type="paragraph" w:styleId="UX_Header">
    <w:name w:val="UX_header"/>
    <w:basedOn w:val="UX_Normal"/>
    <w:link w:val="UX_HeaderChar"/>
    <w:uiPriority w:val="99"/>
    <w:unhideWhenUsed/>
    <w:rsid w:val="00E618BF"/>
    <w:pPr>
      <w:tabs>
        <w:tab w:val="center" w:pos="4680"/>
        <w:tab w:val="right" w:pos="9360"/>
      </w:tabs>
      <w:spacing w:after="0" w:line="240" w:lineRule="auto"/>
    </w:pPr>
  </w:style>
  <w:style w:type="character" w:customStyle="1" w:styleId="UX_HeaderChar">
    <w:name w:val="UX_Header Char"/>
    <w:basedOn w:val="UX_DefaultParagraphFont"/>
    <w:link w:val="UX_Header"/>
    <w:uiPriority w:val="99"/>
    <w:rsid w:val="00E618BF"/>
  </w:style>
  <w:style w:type="paragraph" w:styleId="UX_Footer">
    <w:name w:val="UX_footer"/>
    <w:basedOn w:val="UX_Normal"/>
    <w:link w:val="UX_FooterChar"/>
    <w:uiPriority w:val="99"/>
    <w:unhideWhenUsed/>
    <w:rsid w:val="00E618BF"/>
    <w:pPr>
      <w:tabs>
        <w:tab w:val="center" w:pos="4680"/>
        <w:tab w:val="right" w:pos="9360"/>
      </w:tabs>
      <w:spacing w:after="0" w:line="240" w:lineRule="auto"/>
    </w:pPr>
  </w:style>
  <w:style w:type="character" w:customStyle="1" w:styleId="UX_FooterChar">
    <w:name w:val="UX_Footer Char"/>
    <w:basedOn w:val="UX_DefaultParagraphFont"/>
    <w:link w:val="UX_Footer"/>
    <w:uiPriority w:val="99"/>
    <w:rsid w:val="00E618BF"/>
  </w:style>
  <w:style w:type="paragraph" w:styleId="UX_Heading1">
    <w:name w:val="UX_heading 1"/>
    <w:basedOn w:val="UX_Normal"/>
    <w:next w:val="UX_Normal"/>
    <w:link w:val="UX_Heading1Char"/>
    <w:uiPriority w:val="9"/>
    <w:qFormat/>
    <w:rsid w:val="00FC693F"/>
    <w:pPr>
      <w:keepNext/>
      <w:keepLines/>
      <w:spacing w:before="0" w:after="180"/>
      <w:outlineLvl w:val="0"/>
    </w:pPr>
    <w:rPr>
      <w:rFonts w:asciiTheme="majorHAnsi" w:eastAsiaTheme="majorEastAsia" w:hAnsiTheme="majorHAnsi" w:cstheme="majorBidi" w:ascii="Calibri" w:hAnsi="Calibri"/>
      <w:b/>
      <w:bCs/>
      <w:color w:val="102A3A"/>
      <w:sz w:val="40"/>
      <w:szCs w:val="28"/>
    </w:rPr>
  </w:style>
  <w:style w:type="paragraph" w:styleId="UX_Heading2">
    <w:name w:val="UX_heading 2"/>
    <w:basedOn w:val="UX_Normal"/>
    <w:next w:val="UX_Normal"/>
    <w:link w:val="UX_Heading2Char"/>
    <w:uiPriority w:val="9"/>
    <w:unhideWhenUsed/>
    <w:qFormat/>
    <w:rsid w:val="00FC693F"/>
    <w:pPr>
      <w:keepNext/>
      <w:keepLines/>
      <w:spacing w:before="240" w:after="180"/>
      <w:outlineLvl w:val="1"/>
    </w:pPr>
    <w:rPr>
      <w:rFonts w:asciiTheme="majorHAnsi" w:eastAsiaTheme="majorEastAsia" w:hAnsiTheme="majorHAnsi" w:cstheme="majorBidi" w:ascii="Calibri" w:hAnsi="Calibri"/>
      <w:b/>
      <w:bCs/>
      <w:color w:val="102A3A"/>
      <w:sz w:val="26"/>
      <w:szCs w:val="26"/>
    </w:rPr>
  </w:style>
  <w:style w:type="paragraph" w:styleId="UX_Heading3">
    <w:name w:val="UX_heading 3"/>
    <w:basedOn w:val="UX_Normal"/>
    <w:next w:val="UX_Normal"/>
    <w:link w:val="UX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X_Heading4">
    <w:name w:val="UX_heading 4"/>
    <w:basedOn w:val="UX_Normal"/>
    <w:next w:val="UX_Normal"/>
    <w:link w:val="UX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X_Heading5">
    <w:name w:val="UX_heading 5"/>
    <w:basedOn w:val="UX_Normal"/>
    <w:next w:val="UX_Normal"/>
    <w:link w:val="UX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X_Heading6">
    <w:name w:val="UX_heading 6"/>
    <w:basedOn w:val="UX_Normal"/>
    <w:next w:val="UX_Normal"/>
    <w:link w:val="UX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X_Heading7">
    <w:name w:val="UX_heading 7"/>
    <w:basedOn w:val="UX_Normal"/>
    <w:next w:val="UX_Normal"/>
    <w:link w:val="UX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X_Heading8">
    <w:name w:val="UX_heading 8"/>
    <w:basedOn w:val="UX_Normal"/>
    <w:next w:val="UX_Normal"/>
    <w:link w:val="UX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X_Heading9">
    <w:name w:val="UX_heading 9"/>
    <w:basedOn w:val="UX_Normal"/>
    <w:next w:val="UX_Normal"/>
    <w:link w:val="UX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UX_DefaultParagraphFont">
    <w:name w:val="UX_Default Paragraph Font"/>
    <w:uiPriority w:val="1"/>
    <w:semiHidden/>
    <w:unhideWhenUsed/>
  </w:style>
  <w:style w:type="table" w:default="1" w:styleId="UX_TableNormal">
    <w:name w:val="UX_Normal Table"/>
    <w:uiPriority w:val="99"/>
    <w:semiHidden/>
    <w:unhideWhenUsed/>
    <w:tblPr>
      <w:tblInd w:w="0" w:type="dxa"/>
      <w:tblCellMar>
        <w:top w:w="0" w:type="dxa"/>
        <w:left w:w="108" w:type="dxa"/>
        <w:bottom w:w="0" w:type="dxa"/>
        <w:right w:w="108" w:type="dxa"/>
      </w:tblCellMar>
    </w:tblPr>
  </w:style>
  <w:style w:type="numbering" w:default="1" w:styleId="UX_NoList">
    <w:name w:val="UX_No List"/>
    <w:uiPriority w:val="99"/>
    <w:semiHidden/>
    <w:unhideWhenUsed/>
  </w:style>
  <w:style w:type="paragraph" w:styleId="UX_NoSpacing">
    <w:name w:val="UX_No Spacing"/>
    <w:uiPriority w:val="1"/>
    <w:qFormat/>
    <w:rsid w:val="00FC693F"/>
    <w:pPr>
      <w:spacing w:after="0" w:line="240" w:lineRule="auto"/>
    </w:pPr>
  </w:style>
  <w:style w:type="character" w:customStyle="1" w:styleId="UX_Heading1Char">
    <w:name w:val="UX_Heading 1 Char"/>
    <w:basedOn w:val="UX_DefaultParagraphFont"/>
    <w:link w:val="UX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X_Heading2Char">
    <w:name w:val="UX_Heading 2 Char"/>
    <w:basedOn w:val="UX_DefaultParagraphFont"/>
    <w:link w:val="UX_Heading2"/>
    <w:uiPriority w:val="9"/>
    <w:rsid w:val="00FC693F"/>
    <w:rPr>
      <w:rFonts w:asciiTheme="majorHAnsi" w:eastAsiaTheme="majorEastAsia" w:hAnsiTheme="majorHAnsi" w:cstheme="majorBidi"/>
      <w:b/>
      <w:bCs/>
      <w:color w:val="4F81BD" w:themeColor="accent1"/>
      <w:sz w:val="26"/>
      <w:szCs w:val="26"/>
    </w:rPr>
  </w:style>
  <w:style w:type="character" w:customStyle="1" w:styleId="UX_Heading3Char">
    <w:name w:val="UX_Heading 3 Char"/>
    <w:basedOn w:val="UX_DefaultParagraphFont"/>
    <w:link w:val="UX_Heading3"/>
    <w:uiPriority w:val="9"/>
    <w:rsid w:val="00FC693F"/>
    <w:rPr>
      <w:rFonts w:asciiTheme="majorHAnsi" w:eastAsiaTheme="majorEastAsia" w:hAnsiTheme="majorHAnsi" w:cstheme="majorBidi"/>
      <w:b/>
      <w:bCs/>
      <w:color w:val="4F81BD" w:themeColor="accent1"/>
    </w:rPr>
  </w:style>
  <w:style w:type="paragraph" w:styleId="UX_Title">
    <w:name w:val="UX_Title"/>
    <w:basedOn w:val="UX_Normal"/>
    <w:next w:val="UX_Normal"/>
    <w:link w:val="UX_TitleChar"/>
    <w:uiPriority w:val="10"/>
    <w:qFormat/>
    <w:rsid w:val="00FC693F"/>
    <w:pPr>
      <w:spacing w:after="180" w:line="240" w:lineRule="auto" w:before="0"/>
      <w:contextualSpacing/>
    </w:pPr>
    <w:rPr>
      <w:rFonts w:asciiTheme="majorHAnsi" w:eastAsiaTheme="majorEastAsia" w:hAnsiTheme="majorHAnsi" w:cstheme="majorBidi" w:ascii="Calibri" w:hAnsi="Calibri"/>
      <w:color w:val="102A3A"/>
      <w:spacing w:val="5"/>
      <w:kern w:val="28"/>
      <w:sz w:val="58"/>
      <w:szCs w:val="52"/>
    </w:rPr>
  </w:style>
  <w:style w:type="character" w:customStyle="1" w:styleId="UX_TitleChar">
    <w:name w:val="UX_Title Char"/>
    <w:basedOn w:val="UX_DefaultParagraphFont"/>
    <w:link w:val="UX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X_Subtitle">
    <w:name w:val="UX_Subtitle"/>
    <w:basedOn w:val="UX_Normal"/>
    <w:next w:val="UX_Normal"/>
    <w:link w:val="UX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X_SubtitleChar">
    <w:name w:val="UX_Subtitle Char"/>
    <w:basedOn w:val="UX_DefaultParagraphFont"/>
    <w:link w:val="UX_Subtitle"/>
    <w:uiPriority w:val="11"/>
    <w:rsid w:val="00FC693F"/>
    <w:rPr>
      <w:rFonts w:asciiTheme="majorHAnsi" w:eastAsiaTheme="majorEastAsia" w:hAnsiTheme="majorHAnsi" w:cstheme="majorBidi"/>
      <w:i/>
      <w:iCs/>
      <w:color w:val="4F81BD" w:themeColor="accent1"/>
      <w:spacing w:val="15"/>
      <w:sz w:val="24"/>
      <w:szCs w:val="24"/>
    </w:rPr>
  </w:style>
  <w:style w:type="paragraph" w:styleId="UX_ListParagraph">
    <w:name w:val="UX_List Paragraph"/>
    <w:basedOn w:val="UX_Normal"/>
    <w:uiPriority w:val="34"/>
    <w:qFormat/>
    <w:rsid w:val="00FC693F"/>
    <w:pPr>
      <w:ind w:left="720"/>
      <w:contextualSpacing/>
    </w:pPr>
  </w:style>
  <w:style w:type="paragraph" w:styleId="UX_BodyText">
    <w:name w:val="UX_Body Text"/>
    <w:basedOn w:val="UX_Normal"/>
    <w:link w:val="UX_BodyTextChar"/>
    <w:uiPriority w:val="99"/>
    <w:unhideWhenUsed/>
    <w:rsid w:val="00AA1D8D"/>
    <w:pPr>
      <w:spacing w:after="120"/>
    </w:pPr>
  </w:style>
  <w:style w:type="character" w:customStyle="1" w:styleId="UX_BodyTextChar">
    <w:name w:val="UX_Body Text Char"/>
    <w:basedOn w:val="UX_DefaultParagraphFont"/>
    <w:link w:val="UX_BodyText"/>
    <w:uiPriority w:val="99"/>
    <w:rsid w:val="00AA1D8D"/>
  </w:style>
  <w:style w:type="paragraph" w:styleId="UX_BodyText2">
    <w:name w:val="UX_Body Text 2"/>
    <w:basedOn w:val="UX_Normal"/>
    <w:link w:val="UX_BodyText2Char"/>
    <w:uiPriority w:val="99"/>
    <w:unhideWhenUsed/>
    <w:rsid w:val="00AA1D8D"/>
    <w:pPr>
      <w:spacing w:after="120" w:line="480" w:lineRule="auto"/>
    </w:pPr>
  </w:style>
  <w:style w:type="character" w:customStyle="1" w:styleId="UX_BodyText2Char">
    <w:name w:val="UX_Body Text 2 Char"/>
    <w:basedOn w:val="UX_DefaultParagraphFont"/>
    <w:link w:val="UX_BodyText2"/>
    <w:uiPriority w:val="99"/>
    <w:rsid w:val="00AA1D8D"/>
  </w:style>
  <w:style w:type="paragraph" w:styleId="UX_BodyText3">
    <w:name w:val="UX_Body Text 3"/>
    <w:basedOn w:val="UX_Normal"/>
    <w:link w:val="UX_BodyText3Char"/>
    <w:uiPriority w:val="99"/>
    <w:unhideWhenUsed/>
    <w:rsid w:val="00AA1D8D"/>
    <w:pPr>
      <w:spacing w:after="120"/>
    </w:pPr>
    <w:rPr>
      <w:sz w:val="16"/>
      <w:szCs w:val="16"/>
    </w:rPr>
  </w:style>
  <w:style w:type="character" w:customStyle="1" w:styleId="UX_BodyText3Char">
    <w:name w:val="UX_Body Text 3 Char"/>
    <w:basedOn w:val="UX_DefaultParagraphFont"/>
    <w:link w:val="UX_BodyText3"/>
    <w:uiPriority w:val="99"/>
    <w:rsid w:val="00AA1D8D"/>
    <w:rPr>
      <w:sz w:val="16"/>
      <w:szCs w:val="16"/>
    </w:rPr>
  </w:style>
  <w:style w:type="paragraph" w:styleId="UX_List">
    <w:name w:val="UX_List"/>
    <w:basedOn w:val="UX_Normal"/>
    <w:uiPriority w:val="99"/>
    <w:unhideWhenUsed/>
    <w:rsid w:val="00AA1D8D"/>
    <w:pPr>
      <w:ind w:left="360" w:hanging="360"/>
      <w:contextualSpacing/>
    </w:pPr>
  </w:style>
  <w:style w:type="paragraph" w:styleId="UX_List2">
    <w:name w:val="UX_List 2"/>
    <w:basedOn w:val="UX_Normal"/>
    <w:uiPriority w:val="99"/>
    <w:unhideWhenUsed/>
    <w:rsid w:val="00326F90"/>
    <w:pPr>
      <w:ind w:left="720" w:hanging="360"/>
      <w:contextualSpacing/>
    </w:pPr>
  </w:style>
  <w:style w:type="paragraph" w:styleId="UX_List3">
    <w:name w:val="UX_List 3"/>
    <w:basedOn w:val="UX_Normal"/>
    <w:uiPriority w:val="99"/>
    <w:unhideWhenUsed/>
    <w:rsid w:val="00326F90"/>
    <w:pPr>
      <w:ind w:left="1080" w:hanging="360"/>
      <w:contextualSpacing/>
    </w:pPr>
  </w:style>
  <w:style w:type="paragraph" w:styleId="UX_ListBullet">
    <w:name w:val="UX_List Bullet"/>
    <w:basedOn w:val="UX_Normal"/>
    <w:uiPriority w:val="99"/>
    <w:unhideWhenUsed/>
    <w:rsid w:val="00326F90"/>
    <w:pPr>
      <w:numPr>
        <w:numId w:val="1"/>
      </w:numPr>
      <w:contextualSpacing/>
    </w:pPr>
  </w:style>
  <w:style w:type="paragraph" w:styleId="UX_ListBullet2">
    <w:name w:val="UX_List Bullet 2"/>
    <w:basedOn w:val="UX_Normal"/>
    <w:uiPriority w:val="99"/>
    <w:unhideWhenUsed/>
    <w:rsid w:val="00326F90"/>
    <w:pPr>
      <w:numPr>
        <w:numId w:val="2"/>
      </w:numPr>
      <w:contextualSpacing/>
    </w:pPr>
  </w:style>
  <w:style w:type="paragraph" w:styleId="UX_ListBullet3">
    <w:name w:val="UX_List Bullet 3"/>
    <w:basedOn w:val="UX_Normal"/>
    <w:uiPriority w:val="99"/>
    <w:unhideWhenUsed/>
    <w:rsid w:val="00326F90"/>
    <w:pPr>
      <w:numPr>
        <w:numId w:val="3"/>
      </w:numPr>
      <w:contextualSpacing/>
    </w:pPr>
  </w:style>
  <w:style w:type="paragraph" w:styleId="UX_ListNumber">
    <w:name w:val="UX_List Number"/>
    <w:basedOn w:val="UX_Normal"/>
    <w:uiPriority w:val="99"/>
    <w:unhideWhenUsed/>
    <w:rsid w:val="00326F90"/>
    <w:pPr>
      <w:numPr>
        <w:numId w:val="5"/>
      </w:numPr>
      <w:contextualSpacing/>
    </w:pPr>
  </w:style>
  <w:style w:type="paragraph" w:styleId="UX_ListNumber2">
    <w:name w:val="UX_List Number 2"/>
    <w:basedOn w:val="UX_Normal"/>
    <w:uiPriority w:val="99"/>
    <w:unhideWhenUsed/>
    <w:rsid w:val="0029639D"/>
    <w:pPr>
      <w:numPr>
        <w:numId w:val="6"/>
      </w:numPr>
      <w:contextualSpacing/>
    </w:pPr>
  </w:style>
  <w:style w:type="paragraph" w:styleId="UX_ListNumber3">
    <w:name w:val="UX_List Number 3"/>
    <w:basedOn w:val="UX_Normal"/>
    <w:uiPriority w:val="99"/>
    <w:unhideWhenUsed/>
    <w:rsid w:val="0029639D"/>
    <w:pPr>
      <w:numPr>
        <w:numId w:val="7"/>
      </w:numPr>
      <w:contextualSpacing/>
    </w:pPr>
  </w:style>
  <w:style w:type="paragraph" w:styleId="UX_ListContinue">
    <w:name w:val="UX_List Continue"/>
    <w:basedOn w:val="UX_Normal"/>
    <w:uiPriority w:val="99"/>
    <w:unhideWhenUsed/>
    <w:rsid w:val="0029639D"/>
    <w:pPr>
      <w:spacing w:after="120"/>
      <w:ind w:left="360"/>
      <w:contextualSpacing/>
    </w:pPr>
  </w:style>
  <w:style w:type="paragraph" w:styleId="UX_ListContinue2">
    <w:name w:val="UX_List Continue 2"/>
    <w:basedOn w:val="UX_Normal"/>
    <w:uiPriority w:val="99"/>
    <w:unhideWhenUsed/>
    <w:rsid w:val="0029639D"/>
    <w:pPr>
      <w:spacing w:after="120"/>
      <w:ind w:left="720"/>
      <w:contextualSpacing/>
    </w:pPr>
  </w:style>
  <w:style w:type="paragraph" w:styleId="UX_ListContinue3">
    <w:name w:val="UX_List Continue 3"/>
    <w:basedOn w:val="UX_Normal"/>
    <w:uiPriority w:val="99"/>
    <w:unhideWhenUsed/>
    <w:rsid w:val="0029639D"/>
    <w:pPr>
      <w:spacing w:after="120"/>
      <w:ind w:left="1080"/>
      <w:contextualSpacing/>
    </w:pPr>
  </w:style>
  <w:style w:type="paragraph" w:styleId="UX_MacroText">
    <w:name w:val="UX_macro"/>
    <w:link w:val="UX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UX_MacroTextChar">
    <w:name w:val="UX_Macro Text Char"/>
    <w:basedOn w:val="UX_DefaultParagraphFont"/>
    <w:link w:val="UX_MacroText"/>
    <w:uiPriority w:val="99"/>
    <w:rsid w:val="0029639D"/>
    <w:rPr>
      <w:rFonts w:ascii="Courier" w:hAnsi="Courier"/>
      <w:sz w:val="20"/>
      <w:szCs w:val="20"/>
    </w:rPr>
  </w:style>
  <w:style w:type="paragraph" w:styleId="UX_Quote">
    <w:name w:val="UX_Quote"/>
    <w:basedOn w:val="UX_Normal"/>
    <w:next w:val="UX_Normal"/>
    <w:link w:val="UX_QuoteChar"/>
    <w:uiPriority w:val="29"/>
    <w:qFormat/>
    <w:rsid w:val="00FC693F"/>
    <w:rPr>
      <w:i/>
      <w:iCs/>
      <w:color w:val="000000" w:themeColor="text1"/>
    </w:rPr>
  </w:style>
  <w:style w:type="character" w:customStyle="1" w:styleId="UX_QuoteChar">
    <w:name w:val="UX_Quote Char"/>
    <w:basedOn w:val="UX_DefaultParagraphFont"/>
    <w:link w:val="UX_Quote"/>
    <w:uiPriority w:val="29"/>
    <w:rsid w:val="00FC693F"/>
    <w:rPr>
      <w:i/>
      <w:iCs/>
      <w:color w:val="000000" w:themeColor="text1"/>
    </w:rPr>
  </w:style>
  <w:style w:type="character" w:customStyle="1" w:styleId="UX_Heading4Char">
    <w:name w:val="UX_Heading 4 Char"/>
    <w:basedOn w:val="UX_DefaultParagraphFont"/>
    <w:link w:val="UX_Heading4"/>
    <w:uiPriority w:val="9"/>
    <w:semiHidden/>
    <w:rsid w:val="00FC693F"/>
    <w:rPr>
      <w:rFonts w:asciiTheme="majorHAnsi" w:eastAsiaTheme="majorEastAsia" w:hAnsiTheme="majorHAnsi" w:cstheme="majorBidi"/>
      <w:b/>
      <w:bCs/>
      <w:i/>
      <w:iCs/>
      <w:color w:val="4F81BD" w:themeColor="accent1"/>
    </w:rPr>
  </w:style>
  <w:style w:type="character" w:customStyle="1" w:styleId="UX_Heading5Char">
    <w:name w:val="UX_Heading 5 Char"/>
    <w:basedOn w:val="UX_DefaultParagraphFont"/>
    <w:link w:val="UX_Heading5"/>
    <w:uiPriority w:val="9"/>
    <w:semiHidden/>
    <w:rsid w:val="00FC693F"/>
    <w:rPr>
      <w:rFonts w:asciiTheme="majorHAnsi" w:eastAsiaTheme="majorEastAsia" w:hAnsiTheme="majorHAnsi" w:cstheme="majorBidi"/>
      <w:color w:val="243F60" w:themeColor="accent1" w:themeShade="7F"/>
    </w:rPr>
  </w:style>
  <w:style w:type="character" w:customStyle="1" w:styleId="UX_Heading6Char">
    <w:name w:val="UX_Heading 6 Char"/>
    <w:basedOn w:val="UX_DefaultParagraphFont"/>
    <w:link w:val="UX_Heading6"/>
    <w:uiPriority w:val="9"/>
    <w:semiHidden/>
    <w:rsid w:val="00FC693F"/>
    <w:rPr>
      <w:rFonts w:asciiTheme="majorHAnsi" w:eastAsiaTheme="majorEastAsia" w:hAnsiTheme="majorHAnsi" w:cstheme="majorBidi"/>
      <w:i/>
      <w:iCs/>
      <w:color w:val="243F60" w:themeColor="accent1" w:themeShade="7F"/>
    </w:rPr>
  </w:style>
  <w:style w:type="character" w:customStyle="1" w:styleId="UX_Heading7Char">
    <w:name w:val="UX_Heading 7 Char"/>
    <w:basedOn w:val="UX_DefaultParagraphFont"/>
    <w:link w:val="UX_Heading7"/>
    <w:uiPriority w:val="9"/>
    <w:semiHidden/>
    <w:rsid w:val="00FC693F"/>
    <w:rPr>
      <w:rFonts w:asciiTheme="majorHAnsi" w:eastAsiaTheme="majorEastAsia" w:hAnsiTheme="majorHAnsi" w:cstheme="majorBidi"/>
      <w:i/>
      <w:iCs/>
      <w:color w:val="404040" w:themeColor="text1" w:themeTint="BF"/>
    </w:rPr>
  </w:style>
  <w:style w:type="character" w:customStyle="1" w:styleId="UX_Heading8Char">
    <w:name w:val="UX_Heading 8 Char"/>
    <w:basedOn w:val="UX_DefaultParagraphFont"/>
    <w:link w:val="UX_Heading8"/>
    <w:uiPriority w:val="9"/>
    <w:semiHidden/>
    <w:rsid w:val="00FC693F"/>
    <w:rPr>
      <w:rFonts w:asciiTheme="majorHAnsi" w:eastAsiaTheme="majorEastAsia" w:hAnsiTheme="majorHAnsi" w:cstheme="majorBidi"/>
      <w:color w:val="4F81BD" w:themeColor="accent1"/>
      <w:sz w:val="20"/>
      <w:szCs w:val="20"/>
    </w:rPr>
  </w:style>
  <w:style w:type="character" w:customStyle="1" w:styleId="UX_Heading9Char">
    <w:name w:val="UX_Heading 9 Char"/>
    <w:basedOn w:val="UX_DefaultParagraphFont"/>
    <w:link w:val="UX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UX_Caption">
    <w:name w:val="UX_caption"/>
    <w:basedOn w:val="UX_Normal"/>
    <w:next w:val="UX_Normal"/>
    <w:uiPriority w:val="35"/>
    <w:semiHidden/>
    <w:unhideWhenUsed/>
    <w:qFormat/>
    <w:rsid w:val="00FC693F"/>
    <w:pPr>
      <w:spacing w:line="240" w:lineRule="auto"/>
    </w:pPr>
    <w:rPr>
      <w:b/>
      <w:bCs/>
      <w:color w:val="4F81BD" w:themeColor="accent1"/>
      <w:sz w:val="18"/>
      <w:szCs w:val="18"/>
    </w:rPr>
  </w:style>
  <w:style w:type="character" w:styleId="UX_Strong">
    <w:name w:val="UX_Strong"/>
    <w:basedOn w:val="UX_DefaultParagraphFont"/>
    <w:uiPriority w:val="22"/>
    <w:qFormat/>
    <w:rsid w:val="00FC693F"/>
    <w:rPr>
      <w:b/>
      <w:bCs/>
    </w:rPr>
  </w:style>
  <w:style w:type="character" w:styleId="UX_Emphasis">
    <w:name w:val="UX_Emphasis"/>
    <w:basedOn w:val="UX_DefaultParagraphFont"/>
    <w:uiPriority w:val="20"/>
    <w:qFormat/>
    <w:rsid w:val="00FC693F"/>
    <w:rPr>
      <w:i/>
      <w:iCs/>
    </w:rPr>
  </w:style>
  <w:style w:type="paragraph" w:styleId="UX_IntenseQuote">
    <w:name w:val="UX_Intense Quote"/>
    <w:basedOn w:val="UX_Normal"/>
    <w:next w:val="UX_Normal"/>
    <w:link w:val="UX_IntenseQuoteChar"/>
    <w:uiPriority w:val="30"/>
    <w:qFormat/>
    <w:rsid w:val="00FC693F"/>
    <w:pPr>
      <w:spacing w:before="200" w:after="280"/>
      <w:ind w:left="936" w:right="936"/>
    </w:pPr>
    <w:rPr>
      <w:b/>
      <w:bCs/>
      <w:i/>
      <w:iCs/>
      <w:color w:val="4F81BD" w:themeColor="accent1"/>
    </w:rPr>
  </w:style>
  <w:style w:type="character" w:customStyle="1" w:styleId="UX_IntenseQuoteChar">
    <w:name w:val="UX_Intense Quote Char"/>
    <w:basedOn w:val="UX_DefaultParagraphFont"/>
    <w:link w:val="UX_IntenseQuote"/>
    <w:uiPriority w:val="30"/>
    <w:rsid w:val="00FC693F"/>
    <w:rPr>
      <w:b/>
      <w:bCs/>
      <w:i/>
      <w:iCs/>
      <w:color w:val="4F81BD" w:themeColor="accent1"/>
    </w:rPr>
  </w:style>
  <w:style w:type="character" w:styleId="UX_SubtleEmphasis">
    <w:name w:val="UX_Subtle Emphasis"/>
    <w:basedOn w:val="UX_DefaultParagraphFont"/>
    <w:uiPriority w:val="19"/>
    <w:qFormat/>
    <w:rsid w:val="00FC693F"/>
    <w:rPr>
      <w:i/>
      <w:iCs/>
      <w:color w:val="808080" w:themeColor="text1" w:themeTint="7F"/>
    </w:rPr>
  </w:style>
  <w:style w:type="character" w:styleId="UX_IntenseEmphasis">
    <w:name w:val="UX_Intense Emphasis"/>
    <w:basedOn w:val="UX_DefaultParagraphFont"/>
    <w:uiPriority w:val="21"/>
    <w:qFormat/>
    <w:rsid w:val="00FC693F"/>
    <w:rPr>
      <w:b/>
      <w:bCs/>
      <w:i/>
      <w:iCs/>
      <w:color w:val="4F81BD" w:themeColor="accent1"/>
    </w:rPr>
  </w:style>
  <w:style w:type="character" w:styleId="UX_SubtleReference">
    <w:name w:val="UX_Subtle Reference"/>
    <w:basedOn w:val="UX_DefaultParagraphFont"/>
    <w:uiPriority w:val="31"/>
    <w:qFormat/>
    <w:rsid w:val="00FC693F"/>
    <w:rPr>
      <w:smallCaps/>
      <w:color w:val="C0504D" w:themeColor="accent2"/>
      <w:u w:val="single"/>
    </w:rPr>
  </w:style>
  <w:style w:type="character" w:styleId="UX_IntenseReference">
    <w:name w:val="UX_Intense Reference"/>
    <w:basedOn w:val="UX_DefaultParagraphFont"/>
    <w:uiPriority w:val="32"/>
    <w:qFormat/>
    <w:rsid w:val="00FC693F"/>
    <w:rPr>
      <w:b/>
      <w:bCs/>
      <w:smallCaps/>
      <w:color w:val="C0504D" w:themeColor="accent2"/>
      <w:spacing w:val="5"/>
      <w:u w:val="single"/>
    </w:rPr>
  </w:style>
  <w:style w:type="character" w:styleId="UX_BookTitle">
    <w:name w:val="UX_Book Title"/>
    <w:basedOn w:val="UX_DefaultParagraphFont"/>
    <w:uiPriority w:val="33"/>
    <w:qFormat/>
    <w:rsid w:val="00FC693F"/>
    <w:rPr>
      <w:b/>
      <w:bCs/>
      <w:smallCaps/>
      <w:spacing w:val="5"/>
    </w:rPr>
  </w:style>
  <w:style w:type="paragraph" w:styleId="UX_TOCHeading">
    <w:name w:val="UX_TOC Heading"/>
    <w:basedOn w:val="UX_Heading1"/>
    <w:next w:val="UX_Normal"/>
    <w:uiPriority w:val="39"/>
    <w:semiHidden/>
    <w:unhideWhenUsed/>
    <w:qFormat/>
    <w:rsid w:val="00FC693F"/>
    <w:pPr>
      <w:outlineLvl w:val="9"/>
    </w:pPr>
  </w:style>
  <w:style w:type="table" w:styleId="UX_TableGrid">
    <w:name w:val="UX_Table Grid"/>
    <w:basedOn w:val="UX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X_LightShading">
    <w:name w:val="UX_Light Shading"/>
    <w:basedOn w:val="UX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X_LightShading-Accent1">
    <w:name w:val="UX_Light Shading Accent 1"/>
    <w:basedOn w:val="UX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X_LightShading-Accent2">
    <w:name w:val="UX_Light Shading Accent 2"/>
    <w:basedOn w:val="UX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X_LightShading-Accent3">
    <w:name w:val="UX_Light Shading Accent 3"/>
    <w:basedOn w:val="UX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X_LightShading-Accent4">
    <w:name w:val="UX_Light Shading Accent 4"/>
    <w:basedOn w:val="UX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X_LightShading-Accent5">
    <w:name w:val="UX_Light Shading Accent 5"/>
    <w:basedOn w:val="UX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X_LightShading-Accent6">
    <w:name w:val="UX_Light Shading Accent 6"/>
    <w:basedOn w:val="UX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UX_LightList">
    <w:name w:val="UX_Light List"/>
    <w:basedOn w:val="UX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UX_LightList-Accent1">
    <w:name w:val="UX_Light List Accent 1"/>
    <w:basedOn w:val="UX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UX_LightList-Accent2">
    <w:name w:val="UX_Light List Accent 2"/>
    <w:basedOn w:val="UX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UX_LightList-Accent3">
    <w:name w:val="UX_Light List Accent 3"/>
    <w:basedOn w:val="UX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UX_LightList-Accent4">
    <w:name w:val="UX_Light List Accent 4"/>
    <w:basedOn w:val="UX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UX_LightList-Accent5">
    <w:name w:val="UX_Light List Accent 5"/>
    <w:basedOn w:val="UX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UX_LightList-Accent6">
    <w:name w:val="UX_Light List Accent 6"/>
    <w:basedOn w:val="UX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UX_LightGrid">
    <w:name w:val="UX_Light Grid"/>
    <w:basedOn w:val="UX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UX_LightGrid-Accent1">
    <w:name w:val="UX_Light Grid Accent 1"/>
    <w:basedOn w:val="UX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UX_LightGrid-Accent2">
    <w:name w:val="UX_Light Grid Accent 2"/>
    <w:basedOn w:val="UX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UX_LightGrid-Accent3">
    <w:name w:val="UX_Light Grid Accent 3"/>
    <w:basedOn w:val="UX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UX_LightGrid-Accent4">
    <w:name w:val="UX_Light Grid Accent 4"/>
    <w:basedOn w:val="UX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UX_LightGrid-Accent5">
    <w:name w:val="UX_Light Grid Accent 5"/>
    <w:basedOn w:val="UX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UX_LightGrid-Accent6">
    <w:name w:val="UX_Light Grid Accent 6"/>
    <w:basedOn w:val="UX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X_MediumShading1">
    <w:name w:val="UX_Medium Shading 1"/>
    <w:basedOn w:val="UX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X_MediumShading1-Accent1">
    <w:name w:val="UX_Medium Shading 1 Accent 1"/>
    <w:basedOn w:val="UX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X_MediumShading1-Accent2">
    <w:name w:val="UX_Medium Shading 1 Accent 2"/>
    <w:basedOn w:val="UX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X_MediumShading1-Accent3">
    <w:name w:val="UX_Medium Shading 1 Accent 3"/>
    <w:basedOn w:val="UX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X_MediumShading1-Accent4">
    <w:name w:val="UX_Medium Shading 1 Accent 4"/>
    <w:basedOn w:val="UX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X_MediumShading1-Accent5">
    <w:name w:val="UX_Medium Shading 1 Accent 5"/>
    <w:basedOn w:val="UX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X_MediumShading1-Accent6">
    <w:name w:val="UX_Medium Shading 1 Accent 6"/>
    <w:basedOn w:val="UX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X_MediumShading2">
    <w:name w:val="UX_Medium Shading 2"/>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Shading2-Accent1">
    <w:name w:val="UX_Medium Shading 2 Accent 1"/>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Shading2-Accent2">
    <w:name w:val="UX_Medium Shading 2 Accent 2"/>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Shading2-Accent3">
    <w:name w:val="UX_Medium Shading 2 Accent 3"/>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Shading2-Accent4">
    <w:name w:val="UX_Medium Shading 2 Accent 4"/>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Shading2-Accent5">
    <w:name w:val="UX_Medium Shading 2 Accent 5"/>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Shading2-Accent6">
    <w:name w:val="UX_Medium Shading 2 Accent 6"/>
    <w:basedOn w:val="UX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X_MediumList1">
    <w:name w:val="UX_Medium List 1"/>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UX_MediumList1-Accent1">
    <w:name w:val="UX_Medium List 1 Accent 1"/>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UX_MediumList1-Accent2">
    <w:name w:val="UX_Medium List 1 Accent 2"/>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UX_MediumList1-Accent3">
    <w:name w:val="UX_Medium List 1 Accent 3"/>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UX_MediumList1-Accent4">
    <w:name w:val="UX_Medium List 1 Accent 4"/>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UX_MediumList1-Accent5">
    <w:name w:val="UX_Medium List 1 Accent 5"/>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UX_MediumList1-Accent6">
    <w:name w:val="UX_Medium List 1 Accent 6"/>
    <w:basedOn w:val="UX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UX_MediumList2">
    <w:name w:val="UX_Medium List 2"/>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List2-Accent1">
    <w:name w:val="UX_Medium List 2 Accent 1"/>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List2-Accent2">
    <w:name w:val="UX_Medium List 2 Accent 2"/>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List2-Accent3">
    <w:name w:val="UX_Medium List 2 Accent 3"/>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List2-Accent4">
    <w:name w:val="UX_Medium List 2 Accent 4"/>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List2-Accent5">
    <w:name w:val="UX_Medium List 2 Accent 5"/>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List2-Accent6">
    <w:name w:val="UX_Medium List 2 Accent 6"/>
    <w:basedOn w:val="UX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UX_MediumGrid1">
    <w:name w:val="UX_Medium Grid 1"/>
    <w:basedOn w:val="UX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UX_MediumGrid1-Accent1">
    <w:name w:val="UX_Medium Grid 1 Accent 1"/>
    <w:basedOn w:val="UX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UX_MediumGrid1-Accent2">
    <w:name w:val="UX_Medium Grid 1 Accent 2"/>
    <w:basedOn w:val="UX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UX_MediumGrid1-Accent3">
    <w:name w:val="UX_Medium Grid 1 Accent 3"/>
    <w:basedOn w:val="UX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UX_MediumGrid1-Accent4">
    <w:name w:val="UX_Medium Grid 1 Accent 4"/>
    <w:basedOn w:val="UX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UX_MediumGrid1-Accent5">
    <w:name w:val="UX_Medium Grid 1 Accent 5"/>
    <w:basedOn w:val="UX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UX_MediumGrid1-Accent6">
    <w:name w:val="UX_Medium Grid 1 Accent 6"/>
    <w:basedOn w:val="UX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UX_MediumGrid2">
    <w:name w:val="UX_Medium Grid 2"/>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UX_MediumGrid2-Accent1">
    <w:name w:val="UX_Medium Grid 2 Accent 1"/>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UX_MediumGrid2-Accent2">
    <w:name w:val="UX_Medium Grid 2 Accent 2"/>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UX_MediumGrid2-Accent3">
    <w:name w:val="UX_Medium Grid 2 Accent 3"/>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UX_MediumGrid2-Accent4">
    <w:name w:val="UX_Medium Grid 2 Accent 4"/>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UX_MediumGrid2-Accent5">
    <w:name w:val="UX_Medium Grid 2 Accent 5"/>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UX_MediumGrid2-Accent6">
    <w:name w:val="UX_Medium Grid 2 Accent 6"/>
    <w:basedOn w:val="UX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UX_MediumGrid3">
    <w:name w:val="UX_Medium Grid 3"/>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UX_MediumGrid3-Accent1">
    <w:name w:val="UX_Medium Grid 3 Accent 1"/>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UX_MediumGrid3-Accent2">
    <w:name w:val="UX_Medium Grid 3 Accent 2"/>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UX_MediumGrid3-Accent3">
    <w:name w:val="UX_Medium Grid 3 Accent 3"/>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UX_MediumGrid3-Accent4">
    <w:name w:val="UX_Medium Grid 3 Accent 4"/>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UX_MediumGrid3-Accent5">
    <w:name w:val="UX_Medium Grid 3 Accent 5"/>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UX_MediumGrid3-Accent6">
    <w:name w:val="UX_Medium Grid 3 Accent 6"/>
    <w:basedOn w:val="UX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UX_DarkList">
    <w:name w:val="UX_Dark List"/>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UX_DarkList-Accent1">
    <w:name w:val="UX_Dark List Accent 1"/>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UX_DarkList-Accent2">
    <w:name w:val="UX_Dark List Accent 2"/>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UX_DarkList-Accent3">
    <w:name w:val="UX_Dark List Accent 3"/>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UX_DarkList-Accent4">
    <w:name w:val="UX_Dark List Accent 4"/>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UX_DarkList-Accent5">
    <w:name w:val="UX_Dark List Accent 5"/>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UX_DarkList-Accent6">
    <w:name w:val="UX_Dark List Accent 6"/>
    <w:basedOn w:val="UX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X_ColorfulShading">
    <w:name w:val="UX_Colorful Shading"/>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X_ColorfulShading-Accent1">
    <w:name w:val="UX_Colorful Shading Accent 1"/>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X_ColorfulShading-Accent2">
    <w:name w:val="UX_Colorful Shading Accent 2"/>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X_ColorfulShading-Accent3">
    <w:name w:val="UX_Colorful Shading Accent 3"/>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X_ColorfulShading-Accent4">
    <w:name w:val="UX_Colorful Shading Accent 4"/>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X_ColorfulShading-Accent5">
    <w:name w:val="UX_Colorful Shading Accent 5"/>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X_ColorfulShading-Accent6">
    <w:name w:val="UX_Colorful Shading Accent 6"/>
    <w:basedOn w:val="UX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UX_ColorfulList">
    <w:name w:val="UX_Colorful List"/>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UX_ColorfulList-Accent1">
    <w:name w:val="UX_Colorful List Accent 1"/>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UX_ColorfulList-Accent2">
    <w:name w:val="UX_Colorful List Accent 2"/>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UX_ColorfulList-Accent3">
    <w:name w:val="UX_Colorful List Accent 3"/>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UX_ColorfulList-Accent4">
    <w:name w:val="UX_Colorful List Accent 4"/>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UX_ColorfulList-Accent5">
    <w:name w:val="UX_Colorful List Accent 5"/>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UX_ColorfulList-Accent6">
    <w:name w:val="UX_Colorful List Accent 6"/>
    <w:basedOn w:val="UX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UX_ColorfulGrid">
    <w:name w:val="UX_Colorful Grid"/>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UX_ColorfulGrid-Accent1">
    <w:name w:val="UX_Colorful Grid Accent 1"/>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UX_ColorfulGrid-Accent2">
    <w:name w:val="UX_Colorful Grid Accent 2"/>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UX_ColorfulGrid-Accent3">
    <w:name w:val="UX_Colorful Grid Accent 3"/>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UX_ColorfulGrid-Accent4">
    <w:name w:val="UX_Colorful Grid Accent 4"/>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UX_ColorfulGrid-Accent5">
    <w:name w:val="UX_Colorful Grid Accent 5"/>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UX_ColorfulGrid-Accent6">
    <w:name w:val="UX_Colorful Grid Accent 6"/>
    <w:basedOn w:val="UX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Ops_Normal">
    <w:name w:val="Ops_Normal"/>
    <w:qFormat/>
    <w:rsid w:val="00FC693F"/>
    <w:pPr>
      <w:spacing w:after="120"/>
    </w:pPr>
    <w:rPr>
      <w:rFonts w:ascii="Calibri" w:hAnsi="Calibri"/>
      <w:sz w:val="20"/>
    </w:rPr>
  </w:style>
  <w:style w:type="paragraph" w:styleId="Ops_Header">
    <w:name w:val="Ops_header"/>
    <w:basedOn w:val="Ops_Normal"/>
    <w:link w:val="Ops_HeaderChar"/>
    <w:uiPriority w:val="99"/>
    <w:unhideWhenUsed/>
    <w:rsid w:val="00E618BF"/>
    <w:pPr>
      <w:tabs>
        <w:tab w:val="center" w:pos="4680"/>
        <w:tab w:val="right" w:pos="9360"/>
      </w:tabs>
      <w:spacing w:after="0" w:line="240" w:lineRule="auto"/>
    </w:pPr>
  </w:style>
  <w:style w:type="character" w:customStyle="1" w:styleId="Ops_HeaderChar">
    <w:name w:val="Ops_Header Char"/>
    <w:basedOn w:val="Ops_DefaultParagraphFont"/>
    <w:link w:val="Ops_Header"/>
    <w:uiPriority w:val="99"/>
    <w:rsid w:val="00E618BF"/>
  </w:style>
  <w:style w:type="paragraph" w:styleId="Ops_Footer">
    <w:name w:val="Ops_footer"/>
    <w:basedOn w:val="Ops_Normal"/>
    <w:link w:val="Ops_FooterChar"/>
    <w:uiPriority w:val="99"/>
    <w:unhideWhenUsed/>
    <w:rsid w:val="00E618BF"/>
    <w:pPr>
      <w:tabs>
        <w:tab w:val="center" w:pos="4680"/>
        <w:tab w:val="right" w:pos="9360"/>
      </w:tabs>
      <w:spacing w:after="0" w:line="240" w:lineRule="auto"/>
    </w:pPr>
  </w:style>
  <w:style w:type="character" w:customStyle="1" w:styleId="Ops_FooterChar">
    <w:name w:val="Ops_Footer Char"/>
    <w:basedOn w:val="Ops_DefaultParagraphFont"/>
    <w:link w:val="Ops_Footer"/>
    <w:uiPriority w:val="99"/>
    <w:rsid w:val="00E618BF"/>
  </w:style>
  <w:style w:type="paragraph" w:styleId="Ops_Heading1">
    <w:name w:val="Ops_heading 1"/>
    <w:basedOn w:val="Ops_Normal"/>
    <w:next w:val="Ops_Normal"/>
    <w:link w:val="Ops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Ops_Heading2">
    <w:name w:val="Ops_heading 2"/>
    <w:basedOn w:val="Ops_Normal"/>
    <w:next w:val="Ops_Normal"/>
    <w:link w:val="Ops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Ops_Heading3">
    <w:name w:val="Ops_heading 3"/>
    <w:basedOn w:val="Ops_Normal"/>
    <w:next w:val="Ops_Normal"/>
    <w:link w:val="Ops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ps_Heading4">
    <w:name w:val="Ops_heading 4"/>
    <w:basedOn w:val="Ops_Normal"/>
    <w:next w:val="Ops_Normal"/>
    <w:link w:val="Ops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ps_Heading5">
    <w:name w:val="Ops_heading 5"/>
    <w:basedOn w:val="Ops_Normal"/>
    <w:next w:val="Ops_Normal"/>
    <w:link w:val="Ops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ps_Heading6">
    <w:name w:val="Ops_heading 6"/>
    <w:basedOn w:val="Ops_Normal"/>
    <w:next w:val="Ops_Normal"/>
    <w:link w:val="Ops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ps_Heading7">
    <w:name w:val="Ops_heading 7"/>
    <w:basedOn w:val="Ops_Normal"/>
    <w:next w:val="Ops_Normal"/>
    <w:link w:val="Ops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ps_Heading8">
    <w:name w:val="Ops_heading 8"/>
    <w:basedOn w:val="Ops_Normal"/>
    <w:next w:val="Ops_Normal"/>
    <w:link w:val="Ops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ps_Heading9">
    <w:name w:val="Ops_heading 9"/>
    <w:basedOn w:val="Ops_Normal"/>
    <w:next w:val="Ops_Normal"/>
    <w:link w:val="Ops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Ops_DefaultParagraphFont">
    <w:name w:val="Ops_Default Paragraph Font"/>
    <w:uiPriority w:val="1"/>
    <w:semiHidden/>
    <w:unhideWhenUsed/>
  </w:style>
  <w:style w:type="table" w:default="1" w:styleId="Ops_TableNormal">
    <w:name w:val="Ops_Normal Table"/>
    <w:uiPriority w:val="99"/>
    <w:semiHidden/>
    <w:unhideWhenUsed/>
    <w:tblPr>
      <w:tblInd w:w="0" w:type="dxa"/>
      <w:tblCellMar>
        <w:top w:w="0" w:type="dxa"/>
        <w:left w:w="108" w:type="dxa"/>
        <w:bottom w:w="0" w:type="dxa"/>
        <w:right w:w="108" w:type="dxa"/>
      </w:tblCellMar>
    </w:tblPr>
  </w:style>
  <w:style w:type="numbering" w:default="1" w:styleId="Ops_NoList">
    <w:name w:val="Ops_No List"/>
    <w:uiPriority w:val="99"/>
    <w:semiHidden/>
    <w:unhideWhenUsed/>
  </w:style>
  <w:style w:type="paragraph" w:styleId="Ops_NoSpacing">
    <w:name w:val="Ops_No Spacing"/>
    <w:uiPriority w:val="1"/>
    <w:qFormat/>
    <w:rsid w:val="00FC693F"/>
    <w:pPr>
      <w:spacing w:after="0" w:line="240" w:lineRule="auto"/>
    </w:pPr>
  </w:style>
  <w:style w:type="character" w:customStyle="1" w:styleId="Ops_Heading1Char">
    <w:name w:val="Ops_Heading 1 Char"/>
    <w:basedOn w:val="Ops_DefaultParagraphFont"/>
    <w:link w:val="Ops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ps_Heading2Char">
    <w:name w:val="Ops_Heading 2 Char"/>
    <w:basedOn w:val="Ops_DefaultParagraphFont"/>
    <w:link w:val="Ops_Heading2"/>
    <w:uiPriority w:val="9"/>
    <w:rsid w:val="00FC693F"/>
    <w:rPr>
      <w:rFonts w:asciiTheme="majorHAnsi" w:eastAsiaTheme="majorEastAsia" w:hAnsiTheme="majorHAnsi" w:cstheme="majorBidi"/>
      <w:b/>
      <w:bCs/>
      <w:color w:val="4F81BD" w:themeColor="accent1"/>
      <w:sz w:val="26"/>
      <w:szCs w:val="26"/>
    </w:rPr>
  </w:style>
  <w:style w:type="character" w:customStyle="1" w:styleId="Ops_Heading3Char">
    <w:name w:val="Ops_Heading 3 Char"/>
    <w:basedOn w:val="Ops_DefaultParagraphFont"/>
    <w:link w:val="Ops_Heading3"/>
    <w:uiPriority w:val="9"/>
    <w:rsid w:val="00FC693F"/>
    <w:rPr>
      <w:rFonts w:asciiTheme="majorHAnsi" w:eastAsiaTheme="majorEastAsia" w:hAnsiTheme="majorHAnsi" w:cstheme="majorBidi"/>
      <w:b/>
      <w:bCs/>
      <w:color w:val="4F81BD" w:themeColor="accent1"/>
    </w:rPr>
  </w:style>
  <w:style w:type="paragraph" w:styleId="Ops_Title">
    <w:name w:val="Ops_Title"/>
    <w:basedOn w:val="Ops_Normal"/>
    <w:next w:val="Ops_Normal"/>
    <w:link w:val="Ops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Ops_TitleChar">
    <w:name w:val="Ops_Title Char"/>
    <w:basedOn w:val="Ops_DefaultParagraphFont"/>
    <w:link w:val="Ops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ps_Subtitle">
    <w:name w:val="Ops_Subtitle"/>
    <w:basedOn w:val="Ops_Normal"/>
    <w:next w:val="Ops_Normal"/>
    <w:link w:val="Ops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ps_SubtitleChar">
    <w:name w:val="Ops_Subtitle Char"/>
    <w:basedOn w:val="Ops_DefaultParagraphFont"/>
    <w:link w:val="Ops_Subtitle"/>
    <w:uiPriority w:val="11"/>
    <w:rsid w:val="00FC693F"/>
    <w:rPr>
      <w:rFonts w:asciiTheme="majorHAnsi" w:eastAsiaTheme="majorEastAsia" w:hAnsiTheme="majorHAnsi" w:cstheme="majorBidi"/>
      <w:i/>
      <w:iCs/>
      <w:color w:val="4F81BD" w:themeColor="accent1"/>
      <w:spacing w:val="15"/>
      <w:sz w:val="24"/>
      <w:szCs w:val="24"/>
    </w:rPr>
  </w:style>
  <w:style w:type="paragraph" w:styleId="Ops_ListParagraph">
    <w:name w:val="Ops_List Paragraph"/>
    <w:basedOn w:val="Ops_Normal"/>
    <w:uiPriority w:val="34"/>
    <w:qFormat/>
    <w:rsid w:val="00FC693F"/>
    <w:pPr>
      <w:ind w:left="720"/>
      <w:contextualSpacing/>
    </w:pPr>
  </w:style>
  <w:style w:type="paragraph" w:styleId="Ops_BodyText">
    <w:name w:val="Ops_Body Text"/>
    <w:basedOn w:val="Ops_Normal"/>
    <w:link w:val="Ops_BodyTextChar"/>
    <w:uiPriority w:val="99"/>
    <w:unhideWhenUsed/>
    <w:rsid w:val="00AA1D8D"/>
    <w:pPr>
      <w:spacing w:after="120"/>
    </w:pPr>
  </w:style>
  <w:style w:type="character" w:customStyle="1" w:styleId="Ops_BodyTextChar">
    <w:name w:val="Ops_Body Text Char"/>
    <w:basedOn w:val="Ops_DefaultParagraphFont"/>
    <w:link w:val="Ops_BodyText"/>
    <w:uiPriority w:val="99"/>
    <w:rsid w:val="00AA1D8D"/>
  </w:style>
  <w:style w:type="paragraph" w:styleId="Ops_BodyText2">
    <w:name w:val="Ops_Body Text 2"/>
    <w:basedOn w:val="Ops_Normal"/>
    <w:link w:val="Ops_BodyText2Char"/>
    <w:uiPriority w:val="99"/>
    <w:unhideWhenUsed/>
    <w:rsid w:val="00AA1D8D"/>
    <w:pPr>
      <w:spacing w:after="120" w:line="480" w:lineRule="auto"/>
    </w:pPr>
  </w:style>
  <w:style w:type="character" w:customStyle="1" w:styleId="Ops_BodyText2Char">
    <w:name w:val="Ops_Body Text 2 Char"/>
    <w:basedOn w:val="Ops_DefaultParagraphFont"/>
    <w:link w:val="Ops_BodyText2"/>
    <w:uiPriority w:val="99"/>
    <w:rsid w:val="00AA1D8D"/>
  </w:style>
  <w:style w:type="paragraph" w:styleId="Ops_BodyText3">
    <w:name w:val="Ops_Body Text 3"/>
    <w:basedOn w:val="Ops_Normal"/>
    <w:link w:val="Ops_BodyText3Char"/>
    <w:uiPriority w:val="99"/>
    <w:unhideWhenUsed/>
    <w:rsid w:val="00AA1D8D"/>
    <w:pPr>
      <w:spacing w:after="120"/>
    </w:pPr>
    <w:rPr>
      <w:sz w:val="16"/>
      <w:szCs w:val="16"/>
    </w:rPr>
  </w:style>
  <w:style w:type="character" w:customStyle="1" w:styleId="Ops_BodyText3Char">
    <w:name w:val="Ops_Body Text 3 Char"/>
    <w:basedOn w:val="Ops_DefaultParagraphFont"/>
    <w:link w:val="Ops_BodyText3"/>
    <w:uiPriority w:val="99"/>
    <w:rsid w:val="00AA1D8D"/>
    <w:rPr>
      <w:sz w:val="16"/>
      <w:szCs w:val="16"/>
    </w:rPr>
  </w:style>
  <w:style w:type="paragraph" w:styleId="Ops_List">
    <w:name w:val="Ops_List"/>
    <w:basedOn w:val="Ops_Normal"/>
    <w:uiPriority w:val="99"/>
    <w:unhideWhenUsed/>
    <w:rsid w:val="00AA1D8D"/>
    <w:pPr>
      <w:ind w:left="360" w:hanging="360"/>
      <w:contextualSpacing/>
    </w:pPr>
  </w:style>
  <w:style w:type="paragraph" w:styleId="Ops_List2">
    <w:name w:val="Ops_List 2"/>
    <w:basedOn w:val="Ops_Normal"/>
    <w:uiPriority w:val="99"/>
    <w:unhideWhenUsed/>
    <w:rsid w:val="00326F90"/>
    <w:pPr>
      <w:ind w:left="720" w:hanging="360"/>
      <w:contextualSpacing/>
    </w:pPr>
  </w:style>
  <w:style w:type="paragraph" w:styleId="Ops_List3">
    <w:name w:val="Ops_List 3"/>
    <w:basedOn w:val="Ops_Normal"/>
    <w:uiPriority w:val="99"/>
    <w:unhideWhenUsed/>
    <w:rsid w:val="00326F90"/>
    <w:pPr>
      <w:ind w:left="1080" w:hanging="360"/>
      <w:contextualSpacing/>
    </w:pPr>
  </w:style>
  <w:style w:type="paragraph" w:styleId="Ops_ListBullet">
    <w:name w:val="Ops_List Bullet"/>
    <w:basedOn w:val="Ops_Normal"/>
    <w:uiPriority w:val="99"/>
    <w:unhideWhenUsed/>
    <w:rsid w:val="00326F90"/>
    <w:pPr>
      <w:numPr>
        <w:numId w:val="1"/>
      </w:numPr>
      <w:contextualSpacing/>
    </w:pPr>
  </w:style>
  <w:style w:type="paragraph" w:styleId="Ops_ListBullet2">
    <w:name w:val="Ops_List Bullet 2"/>
    <w:basedOn w:val="Ops_Normal"/>
    <w:uiPriority w:val="99"/>
    <w:unhideWhenUsed/>
    <w:rsid w:val="00326F90"/>
    <w:pPr>
      <w:numPr>
        <w:numId w:val="2"/>
      </w:numPr>
      <w:contextualSpacing/>
    </w:pPr>
  </w:style>
  <w:style w:type="paragraph" w:styleId="Ops_ListBullet3">
    <w:name w:val="Ops_List Bullet 3"/>
    <w:basedOn w:val="Ops_Normal"/>
    <w:uiPriority w:val="99"/>
    <w:unhideWhenUsed/>
    <w:rsid w:val="00326F90"/>
    <w:pPr>
      <w:numPr>
        <w:numId w:val="3"/>
      </w:numPr>
      <w:contextualSpacing/>
    </w:pPr>
  </w:style>
  <w:style w:type="paragraph" w:styleId="Ops_ListNumber">
    <w:name w:val="Ops_List Number"/>
    <w:basedOn w:val="Ops_Normal"/>
    <w:uiPriority w:val="99"/>
    <w:unhideWhenUsed/>
    <w:rsid w:val="00326F90"/>
    <w:pPr>
      <w:numPr>
        <w:numId w:val="5"/>
      </w:numPr>
      <w:contextualSpacing/>
    </w:pPr>
  </w:style>
  <w:style w:type="paragraph" w:styleId="Ops_ListNumber2">
    <w:name w:val="Ops_List Number 2"/>
    <w:basedOn w:val="Ops_Normal"/>
    <w:uiPriority w:val="99"/>
    <w:unhideWhenUsed/>
    <w:rsid w:val="0029639D"/>
    <w:pPr>
      <w:numPr>
        <w:numId w:val="6"/>
      </w:numPr>
      <w:contextualSpacing/>
    </w:pPr>
  </w:style>
  <w:style w:type="paragraph" w:styleId="Ops_ListNumber3">
    <w:name w:val="Ops_List Number 3"/>
    <w:basedOn w:val="Ops_Normal"/>
    <w:uiPriority w:val="99"/>
    <w:unhideWhenUsed/>
    <w:rsid w:val="0029639D"/>
    <w:pPr>
      <w:numPr>
        <w:numId w:val="7"/>
      </w:numPr>
      <w:contextualSpacing/>
    </w:pPr>
  </w:style>
  <w:style w:type="paragraph" w:styleId="Ops_ListContinue">
    <w:name w:val="Ops_List Continue"/>
    <w:basedOn w:val="Ops_Normal"/>
    <w:uiPriority w:val="99"/>
    <w:unhideWhenUsed/>
    <w:rsid w:val="0029639D"/>
    <w:pPr>
      <w:spacing w:after="120"/>
      <w:ind w:left="360"/>
      <w:contextualSpacing/>
    </w:pPr>
  </w:style>
  <w:style w:type="paragraph" w:styleId="Ops_ListContinue2">
    <w:name w:val="Ops_List Continue 2"/>
    <w:basedOn w:val="Ops_Normal"/>
    <w:uiPriority w:val="99"/>
    <w:unhideWhenUsed/>
    <w:rsid w:val="0029639D"/>
    <w:pPr>
      <w:spacing w:after="120"/>
      <w:ind w:left="720"/>
      <w:contextualSpacing/>
    </w:pPr>
  </w:style>
  <w:style w:type="paragraph" w:styleId="Ops_ListContinue3">
    <w:name w:val="Ops_List Continue 3"/>
    <w:basedOn w:val="Ops_Normal"/>
    <w:uiPriority w:val="99"/>
    <w:unhideWhenUsed/>
    <w:rsid w:val="0029639D"/>
    <w:pPr>
      <w:spacing w:after="120"/>
      <w:ind w:left="1080"/>
      <w:contextualSpacing/>
    </w:pPr>
  </w:style>
  <w:style w:type="paragraph" w:styleId="Ops_MacroText">
    <w:name w:val="Ops_macro"/>
    <w:link w:val="Ops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Ops_MacroTextChar">
    <w:name w:val="Ops_Macro Text Char"/>
    <w:basedOn w:val="Ops_DefaultParagraphFont"/>
    <w:link w:val="Ops_MacroText"/>
    <w:uiPriority w:val="99"/>
    <w:rsid w:val="0029639D"/>
    <w:rPr>
      <w:rFonts w:ascii="Courier" w:hAnsi="Courier"/>
      <w:sz w:val="20"/>
      <w:szCs w:val="20"/>
    </w:rPr>
  </w:style>
  <w:style w:type="paragraph" w:styleId="Ops_Quote">
    <w:name w:val="Ops_Quote"/>
    <w:basedOn w:val="Ops_Normal"/>
    <w:next w:val="Ops_Normal"/>
    <w:link w:val="Ops_QuoteChar"/>
    <w:uiPriority w:val="29"/>
    <w:qFormat/>
    <w:rsid w:val="00FC693F"/>
    <w:rPr>
      <w:i/>
      <w:iCs/>
      <w:color w:val="000000" w:themeColor="text1"/>
    </w:rPr>
  </w:style>
  <w:style w:type="character" w:customStyle="1" w:styleId="Ops_QuoteChar">
    <w:name w:val="Ops_Quote Char"/>
    <w:basedOn w:val="Ops_DefaultParagraphFont"/>
    <w:link w:val="Ops_Quote"/>
    <w:uiPriority w:val="29"/>
    <w:rsid w:val="00FC693F"/>
    <w:rPr>
      <w:i/>
      <w:iCs/>
      <w:color w:val="000000" w:themeColor="text1"/>
    </w:rPr>
  </w:style>
  <w:style w:type="character" w:customStyle="1" w:styleId="Ops_Heading4Char">
    <w:name w:val="Ops_Heading 4 Char"/>
    <w:basedOn w:val="Ops_DefaultParagraphFont"/>
    <w:link w:val="Ops_Heading4"/>
    <w:uiPriority w:val="9"/>
    <w:semiHidden/>
    <w:rsid w:val="00FC693F"/>
    <w:rPr>
      <w:rFonts w:asciiTheme="majorHAnsi" w:eastAsiaTheme="majorEastAsia" w:hAnsiTheme="majorHAnsi" w:cstheme="majorBidi"/>
      <w:b/>
      <w:bCs/>
      <w:i/>
      <w:iCs/>
      <w:color w:val="4F81BD" w:themeColor="accent1"/>
    </w:rPr>
  </w:style>
  <w:style w:type="character" w:customStyle="1" w:styleId="Ops_Heading5Char">
    <w:name w:val="Ops_Heading 5 Char"/>
    <w:basedOn w:val="Ops_DefaultParagraphFont"/>
    <w:link w:val="Ops_Heading5"/>
    <w:uiPriority w:val="9"/>
    <w:semiHidden/>
    <w:rsid w:val="00FC693F"/>
    <w:rPr>
      <w:rFonts w:asciiTheme="majorHAnsi" w:eastAsiaTheme="majorEastAsia" w:hAnsiTheme="majorHAnsi" w:cstheme="majorBidi"/>
      <w:color w:val="243F60" w:themeColor="accent1" w:themeShade="7F"/>
    </w:rPr>
  </w:style>
  <w:style w:type="character" w:customStyle="1" w:styleId="Ops_Heading6Char">
    <w:name w:val="Ops_Heading 6 Char"/>
    <w:basedOn w:val="Ops_DefaultParagraphFont"/>
    <w:link w:val="Ops_Heading6"/>
    <w:uiPriority w:val="9"/>
    <w:semiHidden/>
    <w:rsid w:val="00FC693F"/>
    <w:rPr>
      <w:rFonts w:asciiTheme="majorHAnsi" w:eastAsiaTheme="majorEastAsia" w:hAnsiTheme="majorHAnsi" w:cstheme="majorBidi"/>
      <w:i/>
      <w:iCs/>
      <w:color w:val="243F60" w:themeColor="accent1" w:themeShade="7F"/>
    </w:rPr>
  </w:style>
  <w:style w:type="character" w:customStyle="1" w:styleId="Ops_Heading7Char">
    <w:name w:val="Ops_Heading 7 Char"/>
    <w:basedOn w:val="Ops_DefaultParagraphFont"/>
    <w:link w:val="Ops_Heading7"/>
    <w:uiPriority w:val="9"/>
    <w:semiHidden/>
    <w:rsid w:val="00FC693F"/>
    <w:rPr>
      <w:rFonts w:asciiTheme="majorHAnsi" w:eastAsiaTheme="majorEastAsia" w:hAnsiTheme="majorHAnsi" w:cstheme="majorBidi"/>
      <w:i/>
      <w:iCs/>
      <w:color w:val="404040" w:themeColor="text1" w:themeTint="BF"/>
    </w:rPr>
  </w:style>
  <w:style w:type="character" w:customStyle="1" w:styleId="Ops_Heading8Char">
    <w:name w:val="Ops_Heading 8 Char"/>
    <w:basedOn w:val="Ops_DefaultParagraphFont"/>
    <w:link w:val="Ops_Heading8"/>
    <w:uiPriority w:val="9"/>
    <w:semiHidden/>
    <w:rsid w:val="00FC693F"/>
    <w:rPr>
      <w:rFonts w:asciiTheme="majorHAnsi" w:eastAsiaTheme="majorEastAsia" w:hAnsiTheme="majorHAnsi" w:cstheme="majorBidi"/>
      <w:color w:val="4F81BD" w:themeColor="accent1"/>
      <w:sz w:val="20"/>
      <w:szCs w:val="20"/>
    </w:rPr>
  </w:style>
  <w:style w:type="character" w:customStyle="1" w:styleId="Ops_Heading9Char">
    <w:name w:val="Ops_Heading 9 Char"/>
    <w:basedOn w:val="Ops_DefaultParagraphFont"/>
    <w:link w:val="Ops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Ops_Caption">
    <w:name w:val="Ops_caption"/>
    <w:basedOn w:val="Ops_Normal"/>
    <w:next w:val="Ops_Normal"/>
    <w:uiPriority w:val="35"/>
    <w:semiHidden/>
    <w:unhideWhenUsed/>
    <w:qFormat/>
    <w:rsid w:val="00FC693F"/>
    <w:pPr>
      <w:spacing w:line="240" w:lineRule="auto"/>
    </w:pPr>
    <w:rPr>
      <w:b/>
      <w:bCs/>
      <w:color w:val="4F81BD" w:themeColor="accent1"/>
      <w:sz w:val="18"/>
      <w:szCs w:val="18"/>
    </w:rPr>
  </w:style>
  <w:style w:type="character" w:styleId="Ops_Strong">
    <w:name w:val="Ops_Strong"/>
    <w:basedOn w:val="Ops_DefaultParagraphFont"/>
    <w:uiPriority w:val="22"/>
    <w:qFormat/>
    <w:rsid w:val="00FC693F"/>
    <w:rPr>
      <w:b/>
      <w:bCs/>
    </w:rPr>
  </w:style>
  <w:style w:type="character" w:styleId="Ops_Emphasis">
    <w:name w:val="Ops_Emphasis"/>
    <w:basedOn w:val="Ops_DefaultParagraphFont"/>
    <w:uiPriority w:val="20"/>
    <w:qFormat/>
    <w:rsid w:val="00FC693F"/>
    <w:rPr>
      <w:i/>
      <w:iCs/>
    </w:rPr>
  </w:style>
  <w:style w:type="paragraph" w:styleId="Ops_IntenseQuote">
    <w:name w:val="Ops_Intense Quote"/>
    <w:basedOn w:val="Ops_Normal"/>
    <w:next w:val="Ops_Normal"/>
    <w:link w:val="Ops_IntenseQuoteChar"/>
    <w:uiPriority w:val="30"/>
    <w:qFormat/>
    <w:rsid w:val="00FC693F"/>
    <w:pPr>
      <w:spacing w:before="200" w:after="280"/>
      <w:ind w:left="936" w:right="936"/>
    </w:pPr>
    <w:rPr>
      <w:b/>
      <w:bCs/>
      <w:i/>
      <w:iCs/>
      <w:color w:val="4F81BD" w:themeColor="accent1"/>
    </w:rPr>
  </w:style>
  <w:style w:type="character" w:customStyle="1" w:styleId="Ops_IntenseQuoteChar">
    <w:name w:val="Ops_Intense Quote Char"/>
    <w:basedOn w:val="Ops_DefaultParagraphFont"/>
    <w:link w:val="Ops_IntenseQuote"/>
    <w:uiPriority w:val="30"/>
    <w:rsid w:val="00FC693F"/>
    <w:rPr>
      <w:b/>
      <w:bCs/>
      <w:i/>
      <w:iCs/>
      <w:color w:val="4F81BD" w:themeColor="accent1"/>
    </w:rPr>
  </w:style>
  <w:style w:type="character" w:styleId="Ops_SubtleEmphasis">
    <w:name w:val="Ops_Subtle Emphasis"/>
    <w:basedOn w:val="Ops_DefaultParagraphFont"/>
    <w:uiPriority w:val="19"/>
    <w:qFormat/>
    <w:rsid w:val="00FC693F"/>
    <w:rPr>
      <w:i/>
      <w:iCs/>
      <w:color w:val="808080" w:themeColor="text1" w:themeTint="7F"/>
    </w:rPr>
  </w:style>
  <w:style w:type="character" w:styleId="Ops_IntenseEmphasis">
    <w:name w:val="Ops_Intense Emphasis"/>
    <w:basedOn w:val="Ops_DefaultParagraphFont"/>
    <w:uiPriority w:val="21"/>
    <w:qFormat/>
    <w:rsid w:val="00FC693F"/>
    <w:rPr>
      <w:b/>
      <w:bCs/>
      <w:i/>
      <w:iCs/>
      <w:color w:val="4F81BD" w:themeColor="accent1"/>
    </w:rPr>
  </w:style>
  <w:style w:type="character" w:styleId="Ops_SubtleReference">
    <w:name w:val="Ops_Subtle Reference"/>
    <w:basedOn w:val="Ops_DefaultParagraphFont"/>
    <w:uiPriority w:val="31"/>
    <w:qFormat/>
    <w:rsid w:val="00FC693F"/>
    <w:rPr>
      <w:smallCaps/>
      <w:color w:val="C0504D" w:themeColor="accent2"/>
      <w:u w:val="single"/>
    </w:rPr>
  </w:style>
  <w:style w:type="character" w:styleId="Ops_IntenseReference">
    <w:name w:val="Ops_Intense Reference"/>
    <w:basedOn w:val="Ops_DefaultParagraphFont"/>
    <w:uiPriority w:val="32"/>
    <w:qFormat/>
    <w:rsid w:val="00FC693F"/>
    <w:rPr>
      <w:b/>
      <w:bCs/>
      <w:smallCaps/>
      <w:color w:val="C0504D" w:themeColor="accent2"/>
      <w:spacing w:val="5"/>
      <w:u w:val="single"/>
    </w:rPr>
  </w:style>
  <w:style w:type="character" w:styleId="Ops_BookTitle">
    <w:name w:val="Ops_Book Title"/>
    <w:basedOn w:val="Ops_DefaultParagraphFont"/>
    <w:uiPriority w:val="33"/>
    <w:qFormat/>
    <w:rsid w:val="00FC693F"/>
    <w:rPr>
      <w:b/>
      <w:bCs/>
      <w:smallCaps/>
      <w:spacing w:val="5"/>
    </w:rPr>
  </w:style>
  <w:style w:type="paragraph" w:styleId="Ops_TOCHeading">
    <w:name w:val="Ops_TOC Heading"/>
    <w:basedOn w:val="Ops_Heading1"/>
    <w:next w:val="Ops_Normal"/>
    <w:uiPriority w:val="39"/>
    <w:semiHidden/>
    <w:unhideWhenUsed/>
    <w:qFormat/>
    <w:rsid w:val="00FC693F"/>
    <w:pPr>
      <w:outlineLvl w:val="9"/>
    </w:pPr>
  </w:style>
  <w:style w:type="table" w:styleId="Ops_TableGrid">
    <w:name w:val="Ops_Table Grid"/>
    <w:basedOn w:val="Ops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ps_LightShading">
    <w:name w:val="Ops_Light Shading"/>
    <w:basedOn w:val="Ops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ps_LightShading-Accent1">
    <w:name w:val="Ops_Light Shading Accent 1"/>
    <w:basedOn w:val="Ops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ps_LightShading-Accent2">
    <w:name w:val="Ops_Light Shading Accent 2"/>
    <w:basedOn w:val="Ops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Ops_LightShading-Accent3">
    <w:name w:val="Ops_Light Shading Accent 3"/>
    <w:basedOn w:val="Ops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Ops_LightShading-Accent4">
    <w:name w:val="Ops_Light Shading Accent 4"/>
    <w:basedOn w:val="Ops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Ops_LightShading-Accent5">
    <w:name w:val="Ops_Light Shading Accent 5"/>
    <w:basedOn w:val="Ops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Ops_LightShading-Accent6">
    <w:name w:val="Ops_Light Shading Accent 6"/>
    <w:basedOn w:val="Ops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Ops_LightList">
    <w:name w:val="Ops_Light List"/>
    <w:basedOn w:val="Ops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Ops_LightList-Accent1">
    <w:name w:val="Ops_Light List Accent 1"/>
    <w:basedOn w:val="Ops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ps_LightList-Accent2">
    <w:name w:val="Ops_Light List Accent 2"/>
    <w:basedOn w:val="Ops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Ops_LightList-Accent3">
    <w:name w:val="Ops_Light List Accent 3"/>
    <w:basedOn w:val="Ops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Ops_LightList-Accent4">
    <w:name w:val="Ops_Light List Accent 4"/>
    <w:basedOn w:val="Ops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Ops_LightList-Accent5">
    <w:name w:val="Ops_Light List Accent 5"/>
    <w:basedOn w:val="Ops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Ops_LightList-Accent6">
    <w:name w:val="Ops_Light List Accent 6"/>
    <w:basedOn w:val="Ops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ps_LightGrid">
    <w:name w:val="Ops_Light Grid"/>
    <w:basedOn w:val="Ops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ps_LightGrid-Accent1">
    <w:name w:val="Ops_Light Grid Accent 1"/>
    <w:basedOn w:val="Ops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Ops_LightGrid-Accent2">
    <w:name w:val="Ops_Light Grid Accent 2"/>
    <w:basedOn w:val="Ops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Ops_LightGrid-Accent3">
    <w:name w:val="Ops_Light Grid Accent 3"/>
    <w:basedOn w:val="Ops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Ops_LightGrid-Accent4">
    <w:name w:val="Ops_Light Grid Accent 4"/>
    <w:basedOn w:val="Ops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Ops_LightGrid-Accent5">
    <w:name w:val="Ops_Light Grid Accent 5"/>
    <w:basedOn w:val="Ops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Ops_LightGrid-Accent6">
    <w:name w:val="Ops_Light Grid Accent 6"/>
    <w:basedOn w:val="Ops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ps_MediumShading1">
    <w:name w:val="Ops_Medium Shading 1"/>
    <w:basedOn w:val="Ops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ps_MediumShading1-Accent1">
    <w:name w:val="Ops_Medium Shading 1 Accent 1"/>
    <w:basedOn w:val="Ops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ps_MediumShading1-Accent2">
    <w:name w:val="Ops_Medium Shading 1 Accent 2"/>
    <w:basedOn w:val="Ops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ps_MediumShading1-Accent3">
    <w:name w:val="Ops_Medium Shading 1 Accent 3"/>
    <w:basedOn w:val="Ops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ps_MediumShading1-Accent4">
    <w:name w:val="Ops_Medium Shading 1 Accent 4"/>
    <w:basedOn w:val="Ops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ps_MediumShading1-Accent5">
    <w:name w:val="Ops_Medium Shading 1 Accent 5"/>
    <w:basedOn w:val="Ops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ps_MediumShading1-Accent6">
    <w:name w:val="Ops_Medium Shading 1 Accent 6"/>
    <w:basedOn w:val="Ops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ps_MediumShading2">
    <w:name w:val="Ops_Medium Shading 2"/>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Shading2-Accent1">
    <w:name w:val="Ops_Medium Shading 2 Accent 1"/>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Shading2-Accent2">
    <w:name w:val="Ops_Medium Shading 2 Accent 2"/>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Shading2-Accent3">
    <w:name w:val="Ops_Medium Shading 2 Accent 3"/>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Shading2-Accent4">
    <w:name w:val="Ops_Medium Shading 2 Accent 4"/>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Shading2-Accent5">
    <w:name w:val="Ops_Medium Shading 2 Accent 5"/>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Shading2-Accent6">
    <w:name w:val="Ops_Medium Shading 2 Accent 6"/>
    <w:basedOn w:val="Ops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ps_MediumList1">
    <w:name w:val="Ops_Medium List 1"/>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ps_MediumList1-Accent1">
    <w:name w:val="Ops_Medium List 1 Accent 1"/>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ps_MediumList1-Accent2">
    <w:name w:val="Ops_Medium List 1 Accent 2"/>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ps_MediumList1-Accent3">
    <w:name w:val="Ops_Medium List 1 Accent 3"/>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ps_MediumList1-Accent4">
    <w:name w:val="Ops_Medium List 1 Accent 4"/>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ps_MediumList1-Accent5">
    <w:name w:val="Ops_Medium List 1 Accent 5"/>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ps_MediumList1-Accent6">
    <w:name w:val="Ops_Medium List 1 Accent 6"/>
    <w:basedOn w:val="Ops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ps_MediumList2">
    <w:name w:val="Ops_Medium List 2"/>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List2-Accent1">
    <w:name w:val="Ops_Medium List 2 Accent 1"/>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List2-Accent2">
    <w:name w:val="Ops_Medium List 2 Accent 2"/>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List2-Accent3">
    <w:name w:val="Ops_Medium List 2 Accent 3"/>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List2-Accent4">
    <w:name w:val="Ops_Medium List 2 Accent 4"/>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List2-Accent5">
    <w:name w:val="Ops_Medium List 2 Accent 5"/>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List2-Accent6">
    <w:name w:val="Ops_Medium List 2 Accent 6"/>
    <w:basedOn w:val="Ops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ps_MediumGrid1">
    <w:name w:val="Ops_Medium Grid 1"/>
    <w:basedOn w:val="Ops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ps_MediumGrid1-Accent1">
    <w:name w:val="Ops_Medium Grid 1 Accent 1"/>
    <w:basedOn w:val="Ops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ps_MediumGrid1-Accent2">
    <w:name w:val="Ops_Medium Grid 1 Accent 2"/>
    <w:basedOn w:val="Ops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ps_MediumGrid1-Accent3">
    <w:name w:val="Ops_Medium Grid 1 Accent 3"/>
    <w:basedOn w:val="Ops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ps_MediumGrid1-Accent4">
    <w:name w:val="Ops_Medium Grid 1 Accent 4"/>
    <w:basedOn w:val="Ops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ps_MediumGrid1-Accent5">
    <w:name w:val="Ops_Medium Grid 1 Accent 5"/>
    <w:basedOn w:val="Ops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ps_MediumGrid1-Accent6">
    <w:name w:val="Ops_Medium Grid 1 Accent 6"/>
    <w:basedOn w:val="Ops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ps_MediumGrid2">
    <w:name w:val="Ops_Medium Grid 2"/>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ps_MediumGrid2-Accent1">
    <w:name w:val="Ops_Medium Grid 2 Accent 1"/>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ps_MediumGrid2-Accent2">
    <w:name w:val="Ops_Medium Grid 2 Accent 2"/>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ps_MediumGrid2-Accent3">
    <w:name w:val="Ops_Medium Grid 2 Accent 3"/>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ps_MediumGrid2-Accent4">
    <w:name w:val="Ops_Medium Grid 2 Accent 4"/>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ps_MediumGrid2-Accent5">
    <w:name w:val="Ops_Medium Grid 2 Accent 5"/>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ps_MediumGrid2-Accent6">
    <w:name w:val="Ops_Medium Grid 2 Accent 6"/>
    <w:basedOn w:val="Ops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ps_MediumGrid3">
    <w:name w:val="Ops_Medium Grid 3"/>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ps_MediumGrid3-Accent1">
    <w:name w:val="Ops_Medium Grid 3 Accent 1"/>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ps_MediumGrid3-Accent2">
    <w:name w:val="Ops_Medium Grid 3 Accent 2"/>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ps_MediumGrid3-Accent3">
    <w:name w:val="Ops_Medium Grid 3 Accent 3"/>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ps_MediumGrid3-Accent4">
    <w:name w:val="Ops_Medium Grid 3 Accent 4"/>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ps_MediumGrid3-Accent5">
    <w:name w:val="Ops_Medium Grid 3 Accent 5"/>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ps_MediumGrid3-Accent6">
    <w:name w:val="Ops_Medium Grid 3 Accent 6"/>
    <w:basedOn w:val="Ops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ps_DarkList">
    <w:name w:val="Ops_Dark List"/>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ps_DarkList-Accent1">
    <w:name w:val="Ops_Dark List Accent 1"/>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Ops_DarkList-Accent2">
    <w:name w:val="Ops_Dark List Accent 2"/>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Ops_DarkList-Accent3">
    <w:name w:val="Ops_Dark List Accent 3"/>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Ops_DarkList-Accent4">
    <w:name w:val="Ops_Dark List Accent 4"/>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Ops_DarkList-Accent5">
    <w:name w:val="Ops_Dark List Accent 5"/>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Ops_DarkList-Accent6">
    <w:name w:val="Ops_Dark List Accent 6"/>
    <w:basedOn w:val="Ops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ps_ColorfulShading">
    <w:name w:val="Ops_Colorful Shading"/>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ps_ColorfulShading-Accent1">
    <w:name w:val="Ops_Colorful Shading Accent 1"/>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Ops_ColorfulShading-Accent2">
    <w:name w:val="Ops_Colorful Shading Accent 2"/>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ps_ColorfulShading-Accent3">
    <w:name w:val="Ops_Colorful Shading Accent 3"/>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ps_ColorfulShading-Accent4">
    <w:name w:val="Ops_Colorful Shading Accent 4"/>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ps_ColorfulShading-Accent5">
    <w:name w:val="Ops_Colorful Shading Accent 5"/>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ps_ColorfulShading-Accent6">
    <w:name w:val="Ops_Colorful Shading Accent 6"/>
    <w:basedOn w:val="Ops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ps_ColorfulList">
    <w:name w:val="Ops_Colorful List"/>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ps_ColorfulList-Accent1">
    <w:name w:val="Ops_Colorful List Accent 1"/>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ps_ColorfulList-Accent2">
    <w:name w:val="Ops_Colorful List Accent 2"/>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ps_ColorfulList-Accent3">
    <w:name w:val="Ops_Colorful List Accent 3"/>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ps_ColorfulList-Accent4">
    <w:name w:val="Ops_Colorful List Accent 4"/>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ps_ColorfulList-Accent5">
    <w:name w:val="Ops_Colorful List Accent 5"/>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ps_ColorfulList-Accent6">
    <w:name w:val="Ops_Colorful List Accent 6"/>
    <w:basedOn w:val="Ops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ps_ColorfulGrid">
    <w:name w:val="Ops_Colorful Grid"/>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ps_ColorfulGrid-Accent1">
    <w:name w:val="Ops_Colorful Grid Accent 1"/>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ps_ColorfulGrid-Accent2">
    <w:name w:val="Ops_Colorful Grid Accent 2"/>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ps_ColorfulGrid-Accent3">
    <w:name w:val="Ops_Colorful Grid Accent 3"/>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ps_ColorfulGrid-Accent4">
    <w:name w:val="Ops_Colorful Grid Accent 4"/>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ps_ColorfulGrid-Accent5">
    <w:name w:val="Ops_Colorful Grid Accent 5"/>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ps_ColorfulGrid-Accent6">
    <w:name w:val="Ops_Colorful Grid Accent 6"/>
    <w:basedOn w:val="Ops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Front_Normal">
    <w:name w:val="Front_Normal"/>
    <w:qFormat/>
    <w:rsid w:val="00FC693F"/>
    <w:pPr>
      <w:spacing w:after="120"/>
    </w:pPr>
    <w:rPr>
      <w:rFonts w:ascii="Calibri" w:hAnsi="Calibri"/>
      <w:sz w:val="20"/>
    </w:rPr>
  </w:style>
  <w:style w:type="paragraph" w:styleId="Front_Header">
    <w:name w:val="Front_header"/>
    <w:basedOn w:val="Front_Normal"/>
    <w:link w:val="Front_HeaderChar"/>
    <w:uiPriority w:val="99"/>
    <w:unhideWhenUsed/>
    <w:rsid w:val="00E618BF"/>
    <w:pPr>
      <w:tabs>
        <w:tab w:val="center" w:pos="4680"/>
        <w:tab w:val="right" w:pos="9360"/>
      </w:tabs>
      <w:spacing w:after="0" w:line="240" w:lineRule="auto"/>
    </w:pPr>
  </w:style>
  <w:style w:type="character" w:customStyle="1" w:styleId="Front_HeaderChar">
    <w:name w:val="Front_Header Char"/>
    <w:basedOn w:val="Front_DefaultParagraphFont"/>
    <w:link w:val="Front_Header"/>
    <w:uiPriority w:val="99"/>
    <w:rsid w:val="00E618BF"/>
  </w:style>
  <w:style w:type="paragraph" w:styleId="Front_Footer">
    <w:name w:val="Front_footer"/>
    <w:basedOn w:val="Front_Normal"/>
    <w:link w:val="Front_FooterChar"/>
    <w:uiPriority w:val="99"/>
    <w:unhideWhenUsed/>
    <w:rsid w:val="00E618BF"/>
    <w:pPr>
      <w:tabs>
        <w:tab w:val="center" w:pos="4680"/>
        <w:tab w:val="right" w:pos="9360"/>
      </w:tabs>
      <w:spacing w:after="0" w:line="240" w:lineRule="auto"/>
    </w:pPr>
  </w:style>
  <w:style w:type="character" w:customStyle="1" w:styleId="Front_FooterChar">
    <w:name w:val="Front_Footer Char"/>
    <w:basedOn w:val="Front_DefaultParagraphFont"/>
    <w:link w:val="Front_Footer"/>
    <w:uiPriority w:val="99"/>
    <w:rsid w:val="00E618BF"/>
  </w:style>
  <w:style w:type="paragraph" w:styleId="Front_Heading1">
    <w:name w:val="Front_heading 1"/>
    <w:basedOn w:val="Front_Normal"/>
    <w:next w:val="Front_Normal"/>
    <w:link w:val="Front_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102A3A"/>
      <w:sz w:val="38"/>
      <w:szCs w:val="28"/>
    </w:rPr>
  </w:style>
  <w:style w:type="paragraph" w:styleId="Front_Heading2">
    <w:name w:val="Front_heading 2"/>
    <w:basedOn w:val="Front_Normal"/>
    <w:next w:val="Front_Normal"/>
    <w:link w:val="Front_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02A3A"/>
      <w:sz w:val="24"/>
      <w:szCs w:val="26"/>
    </w:rPr>
  </w:style>
  <w:style w:type="paragraph" w:styleId="Front_Heading3">
    <w:name w:val="Front_heading 3"/>
    <w:basedOn w:val="Front_Normal"/>
    <w:next w:val="Front_Normal"/>
    <w:link w:val="Front_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Front_Heading4">
    <w:name w:val="Front_heading 4"/>
    <w:basedOn w:val="Front_Normal"/>
    <w:next w:val="Front_Normal"/>
    <w:link w:val="Front_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Front_Heading5">
    <w:name w:val="Front_heading 5"/>
    <w:basedOn w:val="Front_Normal"/>
    <w:next w:val="Front_Normal"/>
    <w:link w:val="Front_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Front_Heading6">
    <w:name w:val="Front_heading 6"/>
    <w:basedOn w:val="Front_Normal"/>
    <w:next w:val="Front_Normal"/>
    <w:link w:val="Front_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Front_Heading7">
    <w:name w:val="Front_heading 7"/>
    <w:basedOn w:val="Front_Normal"/>
    <w:next w:val="Front_Normal"/>
    <w:link w:val="Front_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Front_Heading8">
    <w:name w:val="Front_heading 8"/>
    <w:basedOn w:val="Front_Normal"/>
    <w:next w:val="Front_Normal"/>
    <w:link w:val="Front_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Front_Heading9">
    <w:name w:val="Front_heading 9"/>
    <w:basedOn w:val="Front_Normal"/>
    <w:next w:val="Front_Normal"/>
    <w:link w:val="Front_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ront_DefaultParagraphFont">
    <w:name w:val="Front_Default Paragraph Font"/>
    <w:uiPriority w:val="1"/>
    <w:semiHidden/>
    <w:unhideWhenUsed/>
  </w:style>
  <w:style w:type="table" w:default="1" w:styleId="Front_TableNormal">
    <w:name w:val="Front_Normal Table"/>
    <w:uiPriority w:val="99"/>
    <w:semiHidden/>
    <w:unhideWhenUsed/>
    <w:tblPr>
      <w:tblInd w:w="0" w:type="dxa"/>
      <w:tblCellMar>
        <w:top w:w="0" w:type="dxa"/>
        <w:left w:w="108" w:type="dxa"/>
        <w:bottom w:w="0" w:type="dxa"/>
        <w:right w:w="108" w:type="dxa"/>
      </w:tblCellMar>
    </w:tblPr>
  </w:style>
  <w:style w:type="numbering" w:default="1" w:styleId="Front_NoList">
    <w:name w:val="Front_No List"/>
    <w:uiPriority w:val="99"/>
    <w:semiHidden/>
    <w:unhideWhenUsed/>
  </w:style>
  <w:style w:type="paragraph" w:styleId="Front_NoSpacing">
    <w:name w:val="Front_No Spacing"/>
    <w:uiPriority w:val="1"/>
    <w:qFormat/>
    <w:rsid w:val="00FC693F"/>
    <w:pPr>
      <w:spacing w:after="0" w:line="240" w:lineRule="auto"/>
    </w:pPr>
  </w:style>
  <w:style w:type="character" w:customStyle="1" w:styleId="Front_Heading1Char">
    <w:name w:val="Front_Heading 1 Char"/>
    <w:basedOn w:val="Front_DefaultParagraphFont"/>
    <w:link w:val="Front_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Front_Heading2Char">
    <w:name w:val="Front_Heading 2 Char"/>
    <w:basedOn w:val="Front_DefaultParagraphFont"/>
    <w:link w:val="Front_Heading2"/>
    <w:uiPriority w:val="9"/>
    <w:rsid w:val="00FC693F"/>
    <w:rPr>
      <w:rFonts w:asciiTheme="majorHAnsi" w:eastAsiaTheme="majorEastAsia" w:hAnsiTheme="majorHAnsi" w:cstheme="majorBidi"/>
      <w:b/>
      <w:bCs/>
      <w:color w:val="4F81BD" w:themeColor="accent1"/>
      <w:sz w:val="26"/>
      <w:szCs w:val="26"/>
    </w:rPr>
  </w:style>
  <w:style w:type="character" w:customStyle="1" w:styleId="Front_Heading3Char">
    <w:name w:val="Front_Heading 3 Char"/>
    <w:basedOn w:val="Front_DefaultParagraphFont"/>
    <w:link w:val="Front_Heading3"/>
    <w:uiPriority w:val="9"/>
    <w:rsid w:val="00FC693F"/>
    <w:rPr>
      <w:rFonts w:asciiTheme="majorHAnsi" w:eastAsiaTheme="majorEastAsia" w:hAnsiTheme="majorHAnsi" w:cstheme="majorBidi"/>
      <w:b/>
      <w:bCs/>
      <w:color w:val="4F81BD" w:themeColor="accent1"/>
    </w:rPr>
  </w:style>
  <w:style w:type="paragraph" w:styleId="Front_Title">
    <w:name w:val="Front_Title"/>
    <w:basedOn w:val="Front_Normal"/>
    <w:next w:val="Front_Normal"/>
    <w:link w:val="Front_TitleChar"/>
    <w:uiPriority w:val="10"/>
    <w:qFormat/>
    <w:rsid w:val="00FC693F"/>
    <w:pPr>
      <w:spacing w:after="120" w:line="240" w:lineRule="auto"/>
      <w:contextualSpacing/>
    </w:pPr>
    <w:rPr>
      <w:rFonts w:asciiTheme="majorHAnsi" w:eastAsiaTheme="majorEastAsia" w:hAnsiTheme="majorHAnsi" w:cstheme="majorBidi" w:ascii="Calibri" w:hAnsi="Calibri"/>
      <w:color w:val="102A3A"/>
      <w:spacing w:val="5"/>
      <w:kern w:val="28"/>
      <w:sz w:val="54"/>
      <w:szCs w:val="52"/>
    </w:rPr>
  </w:style>
  <w:style w:type="character" w:customStyle="1" w:styleId="Front_TitleChar">
    <w:name w:val="Front_Title Char"/>
    <w:basedOn w:val="Front_DefaultParagraphFont"/>
    <w:link w:val="Front_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Front_Subtitle">
    <w:name w:val="Front_Subtitle"/>
    <w:basedOn w:val="Front_Normal"/>
    <w:next w:val="Front_Normal"/>
    <w:link w:val="Front_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Front_SubtitleChar">
    <w:name w:val="Front_Subtitle Char"/>
    <w:basedOn w:val="Front_DefaultParagraphFont"/>
    <w:link w:val="Front_Subtitle"/>
    <w:uiPriority w:val="11"/>
    <w:rsid w:val="00FC693F"/>
    <w:rPr>
      <w:rFonts w:asciiTheme="majorHAnsi" w:eastAsiaTheme="majorEastAsia" w:hAnsiTheme="majorHAnsi" w:cstheme="majorBidi"/>
      <w:i/>
      <w:iCs/>
      <w:color w:val="4F81BD" w:themeColor="accent1"/>
      <w:spacing w:val="15"/>
      <w:sz w:val="24"/>
      <w:szCs w:val="24"/>
    </w:rPr>
  </w:style>
  <w:style w:type="paragraph" w:styleId="Front_ListParagraph">
    <w:name w:val="Front_List Paragraph"/>
    <w:basedOn w:val="Front_Normal"/>
    <w:uiPriority w:val="34"/>
    <w:qFormat/>
    <w:rsid w:val="00FC693F"/>
    <w:pPr>
      <w:ind w:left="720"/>
      <w:contextualSpacing/>
    </w:pPr>
  </w:style>
  <w:style w:type="paragraph" w:styleId="Front_BodyText">
    <w:name w:val="Front_Body Text"/>
    <w:basedOn w:val="Front_Normal"/>
    <w:link w:val="Front_BodyTextChar"/>
    <w:uiPriority w:val="99"/>
    <w:unhideWhenUsed/>
    <w:rsid w:val="00AA1D8D"/>
    <w:pPr>
      <w:spacing w:after="120"/>
    </w:pPr>
  </w:style>
  <w:style w:type="character" w:customStyle="1" w:styleId="Front_BodyTextChar">
    <w:name w:val="Front_Body Text Char"/>
    <w:basedOn w:val="Front_DefaultParagraphFont"/>
    <w:link w:val="Front_BodyText"/>
    <w:uiPriority w:val="99"/>
    <w:rsid w:val="00AA1D8D"/>
  </w:style>
  <w:style w:type="paragraph" w:styleId="Front_BodyText2">
    <w:name w:val="Front_Body Text 2"/>
    <w:basedOn w:val="Front_Normal"/>
    <w:link w:val="Front_BodyText2Char"/>
    <w:uiPriority w:val="99"/>
    <w:unhideWhenUsed/>
    <w:rsid w:val="00AA1D8D"/>
    <w:pPr>
      <w:spacing w:after="120" w:line="480" w:lineRule="auto"/>
    </w:pPr>
  </w:style>
  <w:style w:type="character" w:customStyle="1" w:styleId="Front_BodyText2Char">
    <w:name w:val="Front_Body Text 2 Char"/>
    <w:basedOn w:val="Front_DefaultParagraphFont"/>
    <w:link w:val="Front_BodyText2"/>
    <w:uiPriority w:val="99"/>
    <w:rsid w:val="00AA1D8D"/>
  </w:style>
  <w:style w:type="paragraph" w:styleId="Front_BodyText3">
    <w:name w:val="Front_Body Text 3"/>
    <w:basedOn w:val="Front_Normal"/>
    <w:link w:val="Front_BodyText3Char"/>
    <w:uiPriority w:val="99"/>
    <w:unhideWhenUsed/>
    <w:rsid w:val="00AA1D8D"/>
    <w:pPr>
      <w:spacing w:after="120"/>
    </w:pPr>
    <w:rPr>
      <w:sz w:val="16"/>
      <w:szCs w:val="16"/>
    </w:rPr>
  </w:style>
  <w:style w:type="character" w:customStyle="1" w:styleId="Front_BodyText3Char">
    <w:name w:val="Front_Body Text 3 Char"/>
    <w:basedOn w:val="Front_DefaultParagraphFont"/>
    <w:link w:val="Front_BodyText3"/>
    <w:uiPriority w:val="99"/>
    <w:rsid w:val="00AA1D8D"/>
    <w:rPr>
      <w:sz w:val="16"/>
      <w:szCs w:val="16"/>
    </w:rPr>
  </w:style>
  <w:style w:type="paragraph" w:styleId="Front_List">
    <w:name w:val="Front_List"/>
    <w:basedOn w:val="Front_Normal"/>
    <w:uiPriority w:val="99"/>
    <w:unhideWhenUsed/>
    <w:rsid w:val="00AA1D8D"/>
    <w:pPr>
      <w:ind w:left="360" w:hanging="360"/>
      <w:contextualSpacing/>
    </w:pPr>
  </w:style>
  <w:style w:type="paragraph" w:styleId="Front_List2">
    <w:name w:val="Front_List 2"/>
    <w:basedOn w:val="Front_Normal"/>
    <w:uiPriority w:val="99"/>
    <w:unhideWhenUsed/>
    <w:rsid w:val="00326F90"/>
    <w:pPr>
      <w:ind w:left="720" w:hanging="360"/>
      <w:contextualSpacing/>
    </w:pPr>
  </w:style>
  <w:style w:type="paragraph" w:styleId="Front_List3">
    <w:name w:val="Front_List 3"/>
    <w:basedOn w:val="Front_Normal"/>
    <w:uiPriority w:val="99"/>
    <w:unhideWhenUsed/>
    <w:rsid w:val="00326F90"/>
    <w:pPr>
      <w:ind w:left="1080" w:hanging="360"/>
      <w:contextualSpacing/>
    </w:pPr>
  </w:style>
  <w:style w:type="paragraph" w:styleId="Front_ListBullet">
    <w:name w:val="Front_List Bullet"/>
    <w:basedOn w:val="Front_Normal"/>
    <w:uiPriority w:val="99"/>
    <w:unhideWhenUsed/>
    <w:rsid w:val="00326F90"/>
    <w:pPr>
      <w:numPr>
        <w:numId w:val="1"/>
      </w:numPr>
      <w:contextualSpacing/>
    </w:pPr>
  </w:style>
  <w:style w:type="paragraph" w:styleId="Front_ListBullet2">
    <w:name w:val="Front_List Bullet 2"/>
    <w:basedOn w:val="Front_Normal"/>
    <w:uiPriority w:val="99"/>
    <w:unhideWhenUsed/>
    <w:rsid w:val="00326F90"/>
    <w:pPr>
      <w:numPr>
        <w:numId w:val="2"/>
      </w:numPr>
      <w:contextualSpacing/>
    </w:pPr>
  </w:style>
  <w:style w:type="paragraph" w:styleId="Front_ListBullet3">
    <w:name w:val="Front_List Bullet 3"/>
    <w:basedOn w:val="Front_Normal"/>
    <w:uiPriority w:val="99"/>
    <w:unhideWhenUsed/>
    <w:rsid w:val="00326F90"/>
    <w:pPr>
      <w:numPr>
        <w:numId w:val="3"/>
      </w:numPr>
      <w:contextualSpacing/>
    </w:pPr>
  </w:style>
  <w:style w:type="paragraph" w:styleId="Front_ListNumber">
    <w:name w:val="Front_List Number"/>
    <w:basedOn w:val="Front_Normal"/>
    <w:uiPriority w:val="99"/>
    <w:unhideWhenUsed/>
    <w:rsid w:val="00326F90"/>
    <w:pPr>
      <w:numPr>
        <w:numId w:val="5"/>
      </w:numPr>
      <w:contextualSpacing/>
    </w:pPr>
  </w:style>
  <w:style w:type="paragraph" w:styleId="Front_ListNumber2">
    <w:name w:val="Front_List Number 2"/>
    <w:basedOn w:val="Front_Normal"/>
    <w:uiPriority w:val="99"/>
    <w:unhideWhenUsed/>
    <w:rsid w:val="0029639D"/>
    <w:pPr>
      <w:numPr>
        <w:numId w:val="6"/>
      </w:numPr>
      <w:contextualSpacing/>
    </w:pPr>
  </w:style>
  <w:style w:type="paragraph" w:styleId="Front_ListNumber3">
    <w:name w:val="Front_List Number 3"/>
    <w:basedOn w:val="Front_Normal"/>
    <w:uiPriority w:val="99"/>
    <w:unhideWhenUsed/>
    <w:rsid w:val="0029639D"/>
    <w:pPr>
      <w:numPr>
        <w:numId w:val="7"/>
      </w:numPr>
      <w:contextualSpacing/>
    </w:pPr>
  </w:style>
  <w:style w:type="paragraph" w:styleId="Front_ListContinue">
    <w:name w:val="Front_List Continue"/>
    <w:basedOn w:val="Front_Normal"/>
    <w:uiPriority w:val="99"/>
    <w:unhideWhenUsed/>
    <w:rsid w:val="0029639D"/>
    <w:pPr>
      <w:spacing w:after="120"/>
      <w:ind w:left="360"/>
      <w:contextualSpacing/>
    </w:pPr>
  </w:style>
  <w:style w:type="paragraph" w:styleId="Front_ListContinue2">
    <w:name w:val="Front_List Continue 2"/>
    <w:basedOn w:val="Front_Normal"/>
    <w:uiPriority w:val="99"/>
    <w:unhideWhenUsed/>
    <w:rsid w:val="0029639D"/>
    <w:pPr>
      <w:spacing w:after="120"/>
      <w:ind w:left="720"/>
      <w:contextualSpacing/>
    </w:pPr>
  </w:style>
  <w:style w:type="paragraph" w:styleId="Front_ListContinue3">
    <w:name w:val="Front_List Continue 3"/>
    <w:basedOn w:val="Front_Normal"/>
    <w:uiPriority w:val="99"/>
    <w:unhideWhenUsed/>
    <w:rsid w:val="0029639D"/>
    <w:pPr>
      <w:spacing w:after="120"/>
      <w:ind w:left="1080"/>
      <w:contextualSpacing/>
    </w:pPr>
  </w:style>
  <w:style w:type="paragraph" w:styleId="Front_MacroText">
    <w:name w:val="Front_macro"/>
    <w:link w:val="Front_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Front_MacroTextChar">
    <w:name w:val="Front_Macro Text Char"/>
    <w:basedOn w:val="Front_DefaultParagraphFont"/>
    <w:link w:val="Front_MacroText"/>
    <w:uiPriority w:val="99"/>
    <w:rsid w:val="0029639D"/>
    <w:rPr>
      <w:rFonts w:ascii="Courier" w:hAnsi="Courier"/>
      <w:sz w:val="20"/>
      <w:szCs w:val="20"/>
    </w:rPr>
  </w:style>
  <w:style w:type="paragraph" w:styleId="Front_Quote">
    <w:name w:val="Front_Quote"/>
    <w:basedOn w:val="Front_Normal"/>
    <w:next w:val="Front_Normal"/>
    <w:link w:val="Front_QuoteChar"/>
    <w:uiPriority w:val="29"/>
    <w:qFormat/>
    <w:rsid w:val="00FC693F"/>
    <w:rPr>
      <w:i/>
      <w:iCs/>
      <w:color w:val="000000" w:themeColor="text1"/>
    </w:rPr>
  </w:style>
  <w:style w:type="character" w:customStyle="1" w:styleId="Front_QuoteChar">
    <w:name w:val="Front_Quote Char"/>
    <w:basedOn w:val="Front_DefaultParagraphFont"/>
    <w:link w:val="Front_Quote"/>
    <w:uiPriority w:val="29"/>
    <w:rsid w:val="00FC693F"/>
    <w:rPr>
      <w:i/>
      <w:iCs/>
      <w:color w:val="000000" w:themeColor="text1"/>
    </w:rPr>
  </w:style>
  <w:style w:type="character" w:customStyle="1" w:styleId="Front_Heading4Char">
    <w:name w:val="Front_Heading 4 Char"/>
    <w:basedOn w:val="Front_DefaultParagraphFont"/>
    <w:link w:val="Front_Heading4"/>
    <w:uiPriority w:val="9"/>
    <w:semiHidden/>
    <w:rsid w:val="00FC693F"/>
    <w:rPr>
      <w:rFonts w:asciiTheme="majorHAnsi" w:eastAsiaTheme="majorEastAsia" w:hAnsiTheme="majorHAnsi" w:cstheme="majorBidi"/>
      <w:b/>
      <w:bCs/>
      <w:i/>
      <w:iCs/>
      <w:color w:val="4F81BD" w:themeColor="accent1"/>
    </w:rPr>
  </w:style>
  <w:style w:type="character" w:customStyle="1" w:styleId="Front_Heading5Char">
    <w:name w:val="Front_Heading 5 Char"/>
    <w:basedOn w:val="Front_DefaultParagraphFont"/>
    <w:link w:val="Front_Heading5"/>
    <w:uiPriority w:val="9"/>
    <w:semiHidden/>
    <w:rsid w:val="00FC693F"/>
    <w:rPr>
      <w:rFonts w:asciiTheme="majorHAnsi" w:eastAsiaTheme="majorEastAsia" w:hAnsiTheme="majorHAnsi" w:cstheme="majorBidi"/>
      <w:color w:val="243F60" w:themeColor="accent1" w:themeShade="7F"/>
    </w:rPr>
  </w:style>
  <w:style w:type="character" w:customStyle="1" w:styleId="Front_Heading6Char">
    <w:name w:val="Front_Heading 6 Char"/>
    <w:basedOn w:val="Front_DefaultParagraphFont"/>
    <w:link w:val="Front_Heading6"/>
    <w:uiPriority w:val="9"/>
    <w:semiHidden/>
    <w:rsid w:val="00FC693F"/>
    <w:rPr>
      <w:rFonts w:asciiTheme="majorHAnsi" w:eastAsiaTheme="majorEastAsia" w:hAnsiTheme="majorHAnsi" w:cstheme="majorBidi"/>
      <w:i/>
      <w:iCs/>
      <w:color w:val="243F60" w:themeColor="accent1" w:themeShade="7F"/>
    </w:rPr>
  </w:style>
  <w:style w:type="character" w:customStyle="1" w:styleId="Front_Heading7Char">
    <w:name w:val="Front_Heading 7 Char"/>
    <w:basedOn w:val="Front_DefaultParagraphFont"/>
    <w:link w:val="Front_Heading7"/>
    <w:uiPriority w:val="9"/>
    <w:semiHidden/>
    <w:rsid w:val="00FC693F"/>
    <w:rPr>
      <w:rFonts w:asciiTheme="majorHAnsi" w:eastAsiaTheme="majorEastAsia" w:hAnsiTheme="majorHAnsi" w:cstheme="majorBidi"/>
      <w:i/>
      <w:iCs/>
      <w:color w:val="404040" w:themeColor="text1" w:themeTint="BF"/>
    </w:rPr>
  </w:style>
  <w:style w:type="character" w:customStyle="1" w:styleId="Front_Heading8Char">
    <w:name w:val="Front_Heading 8 Char"/>
    <w:basedOn w:val="Front_DefaultParagraphFont"/>
    <w:link w:val="Front_Heading8"/>
    <w:uiPriority w:val="9"/>
    <w:semiHidden/>
    <w:rsid w:val="00FC693F"/>
    <w:rPr>
      <w:rFonts w:asciiTheme="majorHAnsi" w:eastAsiaTheme="majorEastAsia" w:hAnsiTheme="majorHAnsi" w:cstheme="majorBidi"/>
      <w:color w:val="4F81BD" w:themeColor="accent1"/>
      <w:sz w:val="20"/>
      <w:szCs w:val="20"/>
    </w:rPr>
  </w:style>
  <w:style w:type="character" w:customStyle="1" w:styleId="Front_Heading9Char">
    <w:name w:val="Front_Heading 9 Char"/>
    <w:basedOn w:val="Front_DefaultParagraphFont"/>
    <w:link w:val="Front_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Front_Caption">
    <w:name w:val="Front_caption"/>
    <w:basedOn w:val="Front_Normal"/>
    <w:next w:val="Front_Normal"/>
    <w:uiPriority w:val="35"/>
    <w:semiHidden/>
    <w:unhideWhenUsed/>
    <w:qFormat/>
    <w:rsid w:val="00FC693F"/>
    <w:pPr>
      <w:spacing w:line="240" w:lineRule="auto"/>
    </w:pPr>
    <w:rPr>
      <w:b/>
      <w:bCs/>
      <w:color w:val="4F81BD" w:themeColor="accent1"/>
      <w:sz w:val="18"/>
      <w:szCs w:val="18"/>
    </w:rPr>
  </w:style>
  <w:style w:type="character" w:styleId="Front_Strong">
    <w:name w:val="Front_Strong"/>
    <w:basedOn w:val="Front_DefaultParagraphFont"/>
    <w:uiPriority w:val="22"/>
    <w:qFormat/>
    <w:rsid w:val="00FC693F"/>
    <w:rPr>
      <w:b/>
      <w:bCs/>
    </w:rPr>
  </w:style>
  <w:style w:type="character" w:styleId="Front_Emphasis">
    <w:name w:val="Front_Emphasis"/>
    <w:basedOn w:val="Front_DefaultParagraphFont"/>
    <w:uiPriority w:val="20"/>
    <w:qFormat/>
    <w:rsid w:val="00FC693F"/>
    <w:rPr>
      <w:i/>
      <w:iCs/>
    </w:rPr>
  </w:style>
  <w:style w:type="paragraph" w:styleId="Front_IntenseQuote">
    <w:name w:val="Front_Intense Quote"/>
    <w:basedOn w:val="Front_Normal"/>
    <w:next w:val="Front_Normal"/>
    <w:link w:val="Front_IntenseQuoteChar"/>
    <w:uiPriority w:val="30"/>
    <w:qFormat/>
    <w:rsid w:val="00FC693F"/>
    <w:pPr>
      <w:spacing w:before="200" w:after="280"/>
      <w:ind w:left="936" w:right="936"/>
    </w:pPr>
    <w:rPr>
      <w:b/>
      <w:bCs/>
      <w:i/>
      <w:iCs/>
      <w:color w:val="4F81BD" w:themeColor="accent1"/>
    </w:rPr>
  </w:style>
  <w:style w:type="character" w:customStyle="1" w:styleId="Front_IntenseQuoteChar">
    <w:name w:val="Front_Intense Quote Char"/>
    <w:basedOn w:val="Front_DefaultParagraphFont"/>
    <w:link w:val="Front_IntenseQuote"/>
    <w:uiPriority w:val="30"/>
    <w:rsid w:val="00FC693F"/>
    <w:rPr>
      <w:b/>
      <w:bCs/>
      <w:i/>
      <w:iCs/>
      <w:color w:val="4F81BD" w:themeColor="accent1"/>
    </w:rPr>
  </w:style>
  <w:style w:type="character" w:styleId="Front_SubtleEmphasis">
    <w:name w:val="Front_Subtle Emphasis"/>
    <w:basedOn w:val="Front_DefaultParagraphFont"/>
    <w:uiPriority w:val="19"/>
    <w:qFormat/>
    <w:rsid w:val="00FC693F"/>
    <w:rPr>
      <w:i/>
      <w:iCs/>
      <w:color w:val="808080" w:themeColor="text1" w:themeTint="7F"/>
    </w:rPr>
  </w:style>
  <w:style w:type="character" w:styleId="Front_IntenseEmphasis">
    <w:name w:val="Front_Intense Emphasis"/>
    <w:basedOn w:val="Front_DefaultParagraphFont"/>
    <w:uiPriority w:val="21"/>
    <w:qFormat/>
    <w:rsid w:val="00FC693F"/>
    <w:rPr>
      <w:b/>
      <w:bCs/>
      <w:i/>
      <w:iCs/>
      <w:color w:val="4F81BD" w:themeColor="accent1"/>
    </w:rPr>
  </w:style>
  <w:style w:type="character" w:styleId="Front_SubtleReference">
    <w:name w:val="Front_Subtle Reference"/>
    <w:basedOn w:val="Front_DefaultParagraphFont"/>
    <w:uiPriority w:val="31"/>
    <w:qFormat/>
    <w:rsid w:val="00FC693F"/>
    <w:rPr>
      <w:smallCaps/>
      <w:color w:val="C0504D" w:themeColor="accent2"/>
      <w:u w:val="single"/>
    </w:rPr>
  </w:style>
  <w:style w:type="character" w:styleId="Front_IntenseReference">
    <w:name w:val="Front_Intense Reference"/>
    <w:basedOn w:val="Front_DefaultParagraphFont"/>
    <w:uiPriority w:val="32"/>
    <w:qFormat/>
    <w:rsid w:val="00FC693F"/>
    <w:rPr>
      <w:b/>
      <w:bCs/>
      <w:smallCaps/>
      <w:color w:val="C0504D" w:themeColor="accent2"/>
      <w:spacing w:val="5"/>
      <w:u w:val="single"/>
    </w:rPr>
  </w:style>
  <w:style w:type="character" w:styleId="Front_BookTitle">
    <w:name w:val="Front_Book Title"/>
    <w:basedOn w:val="Front_DefaultParagraphFont"/>
    <w:uiPriority w:val="33"/>
    <w:qFormat/>
    <w:rsid w:val="00FC693F"/>
    <w:rPr>
      <w:b/>
      <w:bCs/>
      <w:smallCaps/>
      <w:spacing w:val="5"/>
    </w:rPr>
  </w:style>
  <w:style w:type="paragraph" w:styleId="Front_TOCHeading">
    <w:name w:val="Front_TOC Heading"/>
    <w:basedOn w:val="Front_Heading1"/>
    <w:next w:val="Front_Normal"/>
    <w:uiPriority w:val="39"/>
    <w:semiHidden/>
    <w:unhideWhenUsed/>
    <w:qFormat/>
    <w:rsid w:val="00FC693F"/>
    <w:pPr>
      <w:outlineLvl w:val="9"/>
    </w:pPr>
  </w:style>
  <w:style w:type="table" w:styleId="Front_TableGrid">
    <w:name w:val="Front_Table Grid"/>
    <w:basedOn w:val="Front_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Front_LightShading">
    <w:name w:val="Front_Light Shading"/>
    <w:basedOn w:val="Front_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Front_LightShading-Accent1">
    <w:name w:val="Front_Light Shading Accent 1"/>
    <w:basedOn w:val="Front_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ront_LightShading-Accent2">
    <w:name w:val="Front_Light Shading Accent 2"/>
    <w:basedOn w:val="Front_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Front_LightShading-Accent3">
    <w:name w:val="Front_Light Shading Accent 3"/>
    <w:basedOn w:val="Front_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Front_LightShading-Accent4">
    <w:name w:val="Front_Light Shading Accent 4"/>
    <w:basedOn w:val="Front_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Front_LightShading-Accent5">
    <w:name w:val="Front_Light Shading Accent 5"/>
    <w:basedOn w:val="Front_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Front_LightShading-Accent6">
    <w:name w:val="Front_Light Shading Accent 6"/>
    <w:basedOn w:val="Front_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Front_LightList">
    <w:name w:val="Front_Light List"/>
    <w:basedOn w:val="Front_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Front_LightList-Accent1">
    <w:name w:val="Front_Light List Accent 1"/>
    <w:basedOn w:val="Front_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Front_LightList-Accent2">
    <w:name w:val="Front_Light List Accent 2"/>
    <w:basedOn w:val="Front_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Front_LightList-Accent3">
    <w:name w:val="Front_Light List Accent 3"/>
    <w:basedOn w:val="Front_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Front_LightList-Accent4">
    <w:name w:val="Front_Light List Accent 4"/>
    <w:basedOn w:val="Front_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Front_LightList-Accent5">
    <w:name w:val="Front_Light List Accent 5"/>
    <w:basedOn w:val="Front_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Front_LightList-Accent6">
    <w:name w:val="Front_Light List Accent 6"/>
    <w:basedOn w:val="Front_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Front_LightGrid">
    <w:name w:val="Front_Light Grid"/>
    <w:basedOn w:val="Front_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Front_LightGrid-Accent1">
    <w:name w:val="Front_Light Grid Accent 1"/>
    <w:basedOn w:val="Front_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Front_LightGrid-Accent2">
    <w:name w:val="Front_Light Grid Accent 2"/>
    <w:basedOn w:val="Front_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Front_LightGrid-Accent3">
    <w:name w:val="Front_Light Grid Accent 3"/>
    <w:basedOn w:val="Front_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Front_LightGrid-Accent4">
    <w:name w:val="Front_Light Grid Accent 4"/>
    <w:basedOn w:val="Front_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Front_LightGrid-Accent5">
    <w:name w:val="Front_Light Grid Accent 5"/>
    <w:basedOn w:val="Front_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Front_LightGrid-Accent6">
    <w:name w:val="Front_Light Grid Accent 6"/>
    <w:basedOn w:val="Front_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Front_MediumShading1">
    <w:name w:val="Front_Medium Shading 1"/>
    <w:basedOn w:val="Front_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Front_MediumShading1-Accent1">
    <w:name w:val="Front_Medium Shading 1 Accent 1"/>
    <w:basedOn w:val="Front_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Front_MediumShading1-Accent2">
    <w:name w:val="Front_Medium Shading 1 Accent 2"/>
    <w:basedOn w:val="Front_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Front_MediumShading1-Accent3">
    <w:name w:val="Front_Medium Shading 1 Accent 3"/>
    <w:basedOn w:val="Front_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Front_MediumShading1-Accent4">
    <w:name w:val="Front_Medium Shading 1 Accent 4"/>
    <w:basedOn w:val="Front_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Front_MediumShading1-Accent5">
    <w:name w:val="Front_Medium Shading 1 Accent 5"/>
    <w:basedOn w:val="Front_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ront_MediumShading1-Accent6">
    <w:name w:val="Front_Medium Shading 1 Accent 6"/>
    <w:basedOn w:val="Front_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Front_MediumShading2">
    <w:name w:val="Front_Medium Shading 2"/>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Shading2-Accent1">
    <w:name w:val="Front_Medium Shading 2 Accent 1"/>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Shading2-Accent2">
    <w:name w:val="Front_Medium Shading 2 Accent 2"/>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Shading2-Accent3">
    <w:name w:val="Front_Medium Shading 2 Accent 3"/>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Shading2-Accent4">
    <w:name w:val="Front_Medium Shading 2 Accent 4"/>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Shading2-Accent5">
    <w:name w:val="Front_Medium Shading 2 Accent 5"/>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Shading2-Accent6">
    <w:name w:val="Front_Medium Shading 2 Accent 6"/>
    <w:basedOn w:val="Front_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ront_MediumList1">
    <w:name w:val="Front_Medium List 1"/>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Front_MediumList1-Accent1">
    <w:name w:val="Front_Medium List 1 Accent 1"/>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Front_MediumList1-Accent2">
    <w:name w:val="Front_Medium List 1 Accent 2"/>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Front_MediumList1-Accent3">
    <w:name w:val="Front_Medium List 1 Accent 3"/>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Front_MediumList1-Accent4">
    <w:name w:val="Front_Medium List 1 Accent 4"/>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Front_MediumList1-Accent5">
    <w:name w:val="Front_Medium List 1 Accent 5"/>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Front_MediumList1-Accent6">
    <w:name w:val="Front_Medium List 1 Accent 6"/>
    <w:basedOn w:val="Front_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Front_MediumList2">
    <w:name w:val="Front_Medium List 2"/>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List2-Accent1">
    <w:name w:val="Front_Medium List 2 Accent 1"/>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List2-Accent2">
    <w:name w:val="Front_Medium List 2 Accent 2"/>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List2-Accent3">
    <w:name w:val="Front_Medium List 2 Accent 3"/>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List2-Accent4">
    <w:name w:val="Front_Medium List 2 Accent 4"/>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List2-Accent5">
    <w:name w:val="Front_Medium List 2 Accent 5"/>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List2-Accent6">
    <w:name w:val="Front_Medium List 2 Accent 6"/>
    <w:basedOn w:val="Front_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Front_MediumGrid1">
    <w:name w:val="Front_Medium Grid 1"/>
    <w:basedOn w:val="Front_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ont_MediumGrid1-Accent1">
    <w:name w:val="Front_Medium Grid 1 Accent 1"/>
    <w:basedOn w:val="Front_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ont_MediumGrid1-Accent2">
    <w:name w:val="Front_Medium Grid 1 Accent 2"/>
    <w:basedOn w:val="Front_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ont_MediumGrid1-Accent3">
    <w:name w:val="Front_Medium Grid 1 Accent 3"/>
    <w:basedOn w:val="Front_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ont_MediumGrid1-Accent4">
    <w:name w:val="Front_Medium Grid 1 Accent 4"/>
    <w:basedOn w:val="Front_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ont_MediumGrid1-Accent5">
    <w:name w:val="Front_Medium Grid 1 Accent 5"/>
    <w:basedOn w:val="Front_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ont_MediumGrid1-Accent6">
    <w:name w:val="Front_Medium Grid 1 Accent 6"/>
    <w:basedOn w:val="Front_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ront_MediumGrid2">
    <w:name w:val="Front_Medium Grid 2"/>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Front_MediumGrid2-Accent1">
    <w:name w:val="Front_Medium Grid 2 Accent 1"/>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Front_MediumGrid2-Accent2">
    <w:name w:val="Front_Medium Grid 2 Accent 2"/>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Front_MediumGrid2-Accent3">
    <w:name w:val="Front_Medium Grid 2 Accent 3"/>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Front_MediumGrid2-Accent4">
    <w:name w:val="Front_Medium Grid 2 Accent 4"/>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Front_MediumGrid2-Accent5">
    <w:name w:val="Front_Medium Grid 2 Accent 5"/>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Front_MediumGrid2-Accent6">
    <w:name w:val="Front_Medium Grid 2 Accent 6"/>
    <w:basedOn w:val="Front_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Front_MediumGrid3">
    <w:name w:val="Front_Medium Grid 3"/>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Front_MediumGrid3-Accent1">
    <w:name w:val="Front_Medium Grid 3 Accent 1"/>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Front_MediumGrid3-Accent2">
    <w:name w:val="Front_Medium Grid 3 Accent 2"/>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Front_MediumGrid3-Accent3">
    <w:name w:val="Front_Medium Grid 3 Accent 3"/>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Front_MediumGrid3-Accent4">
    <w:name w:val="Front_Medium Grid 3 Accent 4"/>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Front_MediumGrid3-Accent5">
    <w:name w:val="Front_Medium Grid 3 Accent 5"/>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Front_MediumGrid3-Accent6">
    <w:name w:val="Front_Medium Grid 3 Accent 6"/>
    <w:basedOn w:val="Front_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Front_DarkList">
    <w:name w:val="Front_Dark List"/>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Front_DarkList-Accent1">
    <w:name w:val="Front_Dark List Accent 1"/>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Front_DarkList-Accent2">
    <w:name w:val="Front_Dark List Accent 2"/>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Front_DarkList-Accent3">
    <w:name w:val="Front_Dark List Accent 3"/>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Front_DarkList-Accent4">
    <w:name w:val="Front_Dark List Accent 4"/>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Front_DarkList-Accent5">
    <w:name w:val="Front_Dark List Accent 5"/>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Front_DarkList-Accent6">
    <w:name w:val="Front_Dark List Accent 6"/>
    <w:basedOn w:val="Front_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ont_ColorfulShading">
    <w:name w:val="Front_Colorful Shading"/>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ont_ColorfulShading-Accent1">
    <w:name w:val="Front_Colorful Shading Accent 1"/>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ont_ColorfulShading-Accent2">
    <w:name w:val="Front_Colorful Shading Accent 2"/>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ont_ColorfulShading-Accent3">
    <w:name w:val="Front_Colorful Shading Accent 3"/>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ont_ColorfulShading-Accent4">
    <w:name w:val="Front_Colorful Shading Accent 4"/>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ont_ColorfulShading-Accent5">
    <w:name w:val="Front_Colorful Shading Accent 5"/>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ont_ColorfulShading-Accent6">
    <w:name w:val="Front_Colorful Shading Accent 6"/>
    <w:basedOn w:val="Front_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ont_ColorfulList">
    <w:name w:val="Front_Colorful List"/>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ont_ColorfulList-Accent1">
    <w:name w:val="Front_Colorful List Accent 1"/>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ont_ColorfulList-Accent2">
    <w:name w:val="Front_Colorful List Accent 2"/>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ont_ColorfulList-Accent3">
    <w:name w:val="Front_Colorful List Accent 3"/>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ont_ColorfulList-Accent4">
    <w:name w:val="Front_Colorful List Accent 4"/>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ont_ColorfulList-Accent5">
    <w:name w:val="Front_Colorful List Accent 5"/>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ont_ColorfulList-Accent6">
    <w:name w:val="Front_Colorful List Accent 6"/>
    <w:basedOn w:val="Front_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ont_ColorfulGrid">
    <w:name w:val="Front_Colorful Grid"/>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ont_ColorfulGrid-Accent1">
    <w:name w:val="Front_Colorful Grid Accent 1"/>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ont_ColorfulGrid-Accent2">
    <w:name w:val="Front_Colorful Grid Accent 2"/>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ont_ColorfulGrid-Accent3">
    <w:name w:val="Front_Colorful Grid Accent 3"/>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ont_ColorfulGrid-Accent4">
    <w:name w:val="Front_Colorful Grid Accent 4"/>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ont_ColorfulGrid-Accent5">
    <w:name w:val="Front_Colorful Grid Accent 5"/>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ont_ColorfulGrid-Accent6">
    <w:name w:val="Front_Colorful Grid Accent 6"/>
    <w:basedOn w:val="Front_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eader" Target="header1.xml"/><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Orca complete application master specification v7</dc:title>
  <dc:subject>Full 23-engine product development and operations reference</dc:subject>
  <dc:creator>Threat Intelligence Bureau LTD</dc:creator>
  <cp:keywords/>
  <dc:description>generated by python-docx</dc:description>
  <cp:lastModifiedBy/>
  <cp:revision>1</cp:revision>
  <dcterms:created xsi:type="dcterms:W3CDTF">2013-12-23T23:15:00Z</dcterms:created>
  <dcterms:modified xsi:type="dcterms:W3CDTF">2013-12-23T23:15:00Z</dcterms:modified>
  <cp:category/>
  <cp:version>6.0</cp:version>
</cp:coreProperties>
</file>